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EF42" w14:textId="77777777" w:rsidR="0020305C" w:rsidRDefault="008F0A3A" w:rsidP="00A87080">
      <w:pPr>
        <w:pStyle w:val="Heading1"/>
      </w:pPr>
      <w:r>
        <w:t>Instructions</w:t>
      </w:r>
    </w:p>
    <w:p w14:paraId="6C5FCE7E" w14:textId="0B8A3F80" w:rsidR="008F0A3A" w:rsidRDefault="00EF2C50" w:rsidP="008F0A3A">
      <w:pPr>
        <w:pStyle w:val="ListParagraph"/>
        <w:numPr>
          <w:ilvl w:val="0"/>
          <w:numId w:val="65"/>
        </w:numPr>
        <w:spacing w:after="40"/>
      </w:pPr>
      <w:r>
        <w:t>Section 2: Keep updated to ensure messages are up to date and owners are known</w:t>
      </w:r>
    </w:p>
    <w:p w14:paraId="303B9EB7" w14:textId="26209797" w:rsidR="00EF2C50" w:rsidRDefault="00EF2C50" w:rsidP="008F0A3A">
      <w:pPr>
        <w:pStyle w:val="ListParagraph"/>
        <w:numPr>
          <w:ilvl w:val="0"/>
          <w:numId w:val="65"/>
        </w:numPr>
        <w:spacing w:after="40"/>
      </w:pPr>
      <w:r>
        <w:t xml:space="preserve">Section 3: Roof message – the starting point for any </w:t>
      </w:r>
      <w:proofErr w:type="gramStart"/>
      <w:r>
        <w:t>high level</w:t>
      </w:r>
      <w:proofErr w:type="gramEnd"/>
      <w:r>
        <w:t xml:space="preserve"> external communication</w:t>
      </w:r>
    </w:p>
    <w:p w14:paraId="683ECC07" w14:textId="1992E86C" w:rsidR="00EF2C50" w:rsidRDefault="00EF2C50" w:rsidP="008F0A3A">
      <w:pPr>
        <w:pStyle w:val="ListParagraph"/>
        <w:numPr>
          <w:ilvl w:val="0"/>
          <w:numId w:val="65"/>
        </w:numPr>
        <w:spacing w:after="40"/>
      </w:pPr>
      <w:r>
        <w:t>Sections 4-6: Pillar messages – the roof message broken down into pillars with more details per pillar</w:t>
      </w:r>
    </w:p>
    <w:p w14:paraId="3281AE29" w14:textId="77777777" w:rsidR="00840AFA" w:rsidRDefault="008F0A3A" w:rsidP="00A87080">
      <w:pPr>
        <w:pStyle w:val="Heading1"/>
      </w:pPr>
      <w:r>
        <w:t>Document control</w:t>
      </w:r>
    </w:p>
    <w:tbl>
      <w:tblPr>
        <w:tblStyle w:val="TableGrid"/>
        <w:tblW w:w="0" w:type="auto"/>
        <w:tblLook w:val="04A0" w:firstRow="1" w:lastRow="0" w:firstColumn="1" w:lastColumn="0" w:noHBand="0" w:noVBand="1"/>
      </w:tblPr>
      <w:tblGrid>
        <w:gridCol w:w="2965"/>
        <w:gridCol w:w="2430"/>
        <w:gridCol w:w="2280"/>
        <w:gridCol w:w="1387"/>
      </w:tblGrid>
      <w:tr w:rsidR="008F0A3A" w14:paraId="5C298293" w14:textId="77777777" w:rsidTr="008F0A3A">
        <w:tc>
          <w:tcPr>
            <w:tcW w:w="2965" w:type="dxa"/>
            <w:shd w:val="clear" w:color="auto" w:fill="000000"/>
            <w:tcMar>
              <w:top w:w="80" w:type="dxa"/>
              <w:left w:w="90" w:type="dxa"/>
              <w:bottom w:w="80" w:type="dxa"/>
              <w:right w:w="90" w:type="dxa"/>
            </w:tcMar>
            <w:vAlign w:val="center"/>
          </w:tcPr>
          <w:p w14:paraId="3403346F" w14:textId="77777777" w:rsidR="008F0A3A" w:rsidRDefault="008F0A3A" w:rsidP="000C79E5">
            <w:pPr>
              <w:spacing w:before="40" w:after="40"/>
            </w:pPr>
            <w:r>
              <w:rPr>
                <w:b/>
                <w:color w:val="FFFFFF"/>
              </w:rPr>
              <w:t>Section</w:t>
            </w:r>
          </w:p>
        </w:tc>
        <w:tc>
          <w:tcPr>
            <w:tcW w:w="2430" w:type="dxa"/>
            <w:shd w:val="clear" w:color="auto" w:fill="000000"/>
            <w:tcMar>
              <w:top w:w="80" w:type="dxa"/>
              <w:left w:w="90" w:type="dxa"/>
              <w:bottom w:w="80" w:type="dxa"/>
              <w:right w:w="90" w:type="dxa"/>
            </w:tcMar>
            <w:vAlign w:val="center"/>
          </w:tcPr>
          <w:p w14:paraId="79FF627C" w14:textId="77777777" w:rsidR="008F0A3A" w:rsidRDefault="008F0A3A" w:rsidP="000C79E5">
            <w:pPr>
              <w:spacing w:before="40" w:after="40"/>
            </w:pPr>
            <w:r>
              <w:rPr>
                <w:b/>
                <w:color w:val="FFFFFF"/>
              </w:rPr>
              <w:t>Communications owner</w:t>
            </w:r>
          </w:p>
        </w:tc>
        <w:tc>
          <w:tcPr>
            <w:tcW w:w="2280" w:type="dxa"/>
            <w:shd w:val="clear" w:color="auto" w:fill="000000"/>
            <w:tcMar>
              <w:top w:w="80" w:type="dxa"/>
              <w:left w:w="90" w:type="dxa"/>
              <w:bottom w:w="80" w:type="dxa"/>
              <w:right w:w="90" w:type="dxa"/>
            </w:tcMar>
            <w:vAlign w:val="center"/>
          </w:tcPr>
          <w:p w14:paraId="557218EB" w14:textId="77777777" w:rsidR="008F0A3A" w:rsidRDefault="008F0A3A" w:rsidP="000C79E5">
            <w:pPr>
              <w:spacing w:before="40" w:after="40"/>
            </w:pPr>
            <w:r>
              <w:rPr>
                <w:b/>
                <w:color w:val="FFFFFF"/>
              </w:rPr>
              <w:t>Legal approval owner</w:t>
            </w:r>
          </w:p>
        </w:tc>
        <w:tc>
          <w:tcPr>
            <w:tcW w:w="1387" w:type="dxa"/>
            <w:shd w:val="clear" w:color="auto" w:fill="000000"/>
            <w:tcMar>
              <w:top w:w="80" w:type="dxa"/>
              <w:left w:w="90" w:type="dxa"/>
              <w:bottom w:w="80" w:type="dxa"/>
              <w:right w:w="90" w:type="dxa"/>
            </w:tcMar>
            <w:vAlign w:val="center"/>
          </w:tcPr>
          <w:p w14:paraId="1532E28A" w14:textId="77777777" w:rsidR="008F0A3A" w:rsidRDefault="008F0A3A" w:rsidP="000C79E5">
            <w:pPr>
              <w:spacing w:before="40" w:after="40"/>
            </w:pPr>
            <w:r>
              <w:rPr>
                <w:b/>
                <w:color w:val="FFFFFF"/>
              </w:rPr>
              <w:t>Last updated</w:t>
            </w:r>
          </w:p>
        </w:tc>
      </w:tr>
      <w:tr w:rsidR="008F0A3A" w14:paraId="13B842BB" w14:textId="77777777" w:rsidTr="008F0A3A">
        <w:tc>
          <w:tcPr>
            <w:tcW w:w="2965" w:type="dxa"/>
            <w:tcMar>
              <w:top w:w="80" w:type="dxa"/>
              <w:left w:w="90" w:type="dxa"/>
              <w:bottom w:w="80" w:type="dxa"/>
              <w:right w:w="90" w:type="dxa"/>
            </w:tcMar>
            <w:vAlign w:val="center"/>
          </w:tcPr>
          <w:p w14:paraId="3F833551" w14:textId="77777777" w:rsidR="008F0A3A" w:rsidRDefault="008F0A3A" w:rsidP="000C79E5">
            <w:pPr>
              <w:spacing w:before="40" w:after="40"/>
            </w:pPr>
            <w:r>
              <w:t>Roof message</w:t>
            </w:r>
          </w:p>
        </w:tc>
        <w:tc>
          <w:tcPr>
            <w:tcW w:w="2430" w:type="dxa"/>
            <w:tcMar>
              <w:top w:w="80" w:type="dxa"/>
              <w:left w:w="90" w:type="dxa"/>
              <w:bottom w:w="80" w:type="dxa"/>
              <w:right w:w="90" w:type="dxa"/>
            </w:tcMar>
            <w:vAlign w:val="center"/>
          </w:tcPr>
          <w:p w14:paraId="27A13E31" w14:textId="77777777" w:rsidR="008F0A3A" w:rsidRDefault="008F0A3A" w:rsidP="000C79E5">
            <w:pPr>
              <w:spacing w:before="40" w:after="40"/>
            </w:pPr>
            <w:r>
              <w:rPr>
                <w:sz w:val="19"/>
              </w:rPr>
              <w:t>Maya Lenz</w:t>
            </w:r>
          </w:p>
        </w:tc>
        <w:tc>
          <w:tcPr>
            <w:tcW w:w="2280" w:type="dxa"/>
            <w:tcMar>
              <w:top w:w="80" w:type="dxa"/>
              <w:left w:w="90" w:type="dxa"/>
              <w:bottom w:w="80" w:type="dxa"/>
              <w:right w:w="90" w:type="dxa"/>
            </w:tcMar>
            <w:vAlign w:val="center"/>
          </w:tcPr>
          <w:p w14:paraId="6FDBA880" w14:textId="77777777" w:rsidR="008F0A3A" w:rsidRDefault="008F0A3A" w:rsidP="000C79E5">
            <w:pPr>
              <w:spacing w:before="40" w:after="40"/>
            </w:pPr>
            <w:r>
              <w:rPr>
                <w:sz w:val="19"/>
              </w:rPr>
              <w:t>Priya Sen</w:t>
            </w:r>
          </w:p>
        </w:tc>
        <w:tc>
          <w:tcPr>
            <w:tcW w:w="1387" w:type="dxa"/>
            <w:tcMar>
              <w:top w:w="80" w:type="dxa"/>
              <w:left w:w="90" w:type="dxa"/>
              <w:bottom w:w="80" w:type="dxa"/>
              <w:right w:w="90" w:type="dxa"/>
            </w:tcMar>
            <w:vAlign w:val="center"/>
          </w:tcPr>
          <w:p w14:paraId="58DC3A5F" w14:textId="77777777" w:rsidR="000205A2" w:rsidRDefault="00000000">
            <w:r>
              <w:t>20 Mar 2026</w:t>
            </w:r>
          </w:p>
        </w:tc>
      </w:tr>
      <w:tr w:rsidR="008F0A3A" w14:paraId="30436765" w14:textId="77777777" w:rsidTr="008F0A3A">
        <w:tc>
          <w:tcPr>
            <w:tcW w:w="2965" w:type="dxa"/>
            <w:tcMar>
              <w:top w:w="80" w:type="dxa"/>
              <w:left w:w="90" w:type="dxa"/>
              <w:bottom w:w="80" w:type="dxa"/>
              <w:right w:w="90" w:type="dxa"/>
            </w:tcMar>
            <w:vAlign w:val="center"/>
          </w:tcPr>
          <w:p w14:paraId="1EE4A8D9" w14:textId="77777777" w:rsidR="008F0A3A" w:rsidRDefault="008F0A3A" w:rsidP="000C79E5">
            <w:pPr>
              <w:spacing w:before="40" w:after="40"/>
            </w:pPr>
            <w:r>
              <w:rPr>
                <w:sz w:val="19"/>
              </w:rPr>
              <w:t>Pillar 1 - Growth for merchants</w:t>
            </w:r>
          </w:p>
        </w:tc>
        <w:tc>
          <w:tcPr>
            <w:tcW w:w="2430" w:type="dxa"/>
            <w:tcMar>
              <w:top w:w="80" w:type="dxa"/>
              <w:left w:w="90" w:type="dxa"/>
              <w:bottom w:w="80" w:type="dxa"/>
              <w:right w:w="90" w:type="dxa"/>
            </w:tcMar>
            <w:vAlign w:val="center"/>
          </w:tcPr>
          <w:p w14:paraId="452E470D" w14:textId="77777777" w:rsidR="008F0A3A" w:rsidRDefault="008F0A3A" w:rsidP="000C79E5">
            <w:pPr>
              <w:spacing w:before="40" w:after="40"/>
            </w:pPr>
            <w:r>
              <w:rPr>
                <w:sz w:val="19"/>
              </w:rPr>
              <w:t>Daniel Voss</w:t>
            </w:r>
          </w:p>
        </w:tc>
        <w:tc>
          <w:tcPr>
            <w:tcW w:w="2280" w:type="dxa"/>
            <w:tcMar>
              <w:top w:w="80" w:type="dxa"/>
              <w:left w:w="90" w:type="dxa"/>
              <w:bottom w:w="80" w:type="dxa"/>
              <w:right w:w="90" w:type="dxa"/>
            </w:tcMar>
            <w:vAlign w:val="center"/>
          </w:tcPr>
          <w:p w14:paraId="1B689CBC" w14:textId="77777777" w:rsidR="008F0A3A" w:rsidRDefault="008F0A3A" w:rsidP="000C79E5">
            <w:pPr>
              <w:spacing w:before="40" w:after="40"/>
            </w:pPr>
            <w:r>
              <w:rPr>
                <w:sz w:val="19"/>
              </w:rPr>
              <w:t>Elena Petrov</w:t>
            </w:r>
          </w:p>
        </w:tc>
        <w:tc>
          <w:tcPr>
            <w:tcW w:w="1387" w:type="dxa"/>
            <w:tcMar>
              <w:top w:w="80" w:type="dxa"/>
              <w:left w:w="90" w:type="dxa"/>
              <w:bottom w:w="80" w:type="dxa"/>
              <w:right w:w="90" w:type="dxa"/>
            </w:tcMar>
            <w:vAlign w:val="center"/>
          </w:tcPr>
          <w:p w14:paraId="17519810" w14:textId="77777777" w:rsidR="000205A2" w:rsidRDefault="00000000">
            <w:r>
              <w:t>20 Mar 2026</w:t>
            </w:r>
          </w:p>
        </w:tc>
      </w:tr>
      <w:tr w:rsidR="008F0A3A" w14:paraId="7383A7E9" w14:textId="77777777" w:rsidTr="008F0A3A">
        <w:tc>
          <w:tcPr>
            <w:tcW w:w="2965" w:type="dxa"/>
            <w:tcMar>
              <w:top w:w="80" w:type="dxa"/>
              <w:left w:w="90" w:type="dxa"/>
              <w:bottom w:w="80" w:type="dxa"/>
              <w:right w:w="90" w:type="dxa"/>
            </w:tcMar>
            <w:vAlign w:val="center"/>
          </w:tcPr>
          <w:p w14:paraId="24E24F68" w14:textId="77777777" w:rsidR="008F0A3A" w:rsidRDefault="008F0A3A" w:rsidP="000C79E5">
            <w:pPr>
              <w:spacing w:before="40" w:after="40"/>
            </w:pPr>
            <w:r>
              <w:rPr>
                <w:sz w:val="19"/>
              </w:rPr>
              <w:t>Pillar 2 - Reliable operations</w:t>
            </w:r>
          </w:p>
        </w:tc>
        <w:tc>
          <w:tcPr>
            <w:tcW w:w="2430" w:type="dxa"/>
            <w:tcMar>
              <w:top w:w="80" w:type="dxa"/>
              <w:left w:w="90" w:type="dxa"/>
              <w:bottom w:w="80" w:type="dxa"/>
              <w:right w:w="90" w:type="dxa"/>
            </w:tcMar>
            <w:vAlign w:val="center"/>
          </w:tcPr>
          <w:p w14:paraId="190D07B9" w14:textId="77777777" w:rsidR="008F0A3A" w:rsidRDefault="008F0A3A" w:rsidP="000C79E5">
            <w:pPr>
              <w:spacing w:before="40" w:after="40"/>
            </w:pPr>
            <w:r>
              <w:rPr>
                <w:sz w:val="19"/>
              </w:rPr>
              <w:t>Luca Weber</w:t>
            </w:r>
          </w:p>
        </w:tc>
        <w:tc>
          <w:tcPr>
            <w:tcW w:w="2280" w:type="dxa"/>
            <w:tcMar>
              <w:top w:w="80" w:type="dxa"/>
              <w:left w:w="90" w:type="dxa"/>
              <w:bottom w:w="80" w:type="dxa"/>
              <w:right w:w="90" w:type="dxa"/>
            </w:tcMar>
            <w:vAlign w:val="center"/>
          </w:tcPr>
          <w:p w14:paraId="23EE0DDD" w14:textId="77777777" w:rsidR="008F0A3A" w:rsidRDefault="008F0A3A" w:rsidP="000C79E5">
            <w:pPr>
              <w:spacing w:before="40" w:after="40"/>
            </w:pPr>
            <w:r>
              <w:rPr>
                <w:sz w:val="19"/>
              </w:rPr>
              <w:t>Jonas Klein</w:t>
            </w:r>
          </w:p>
        </w:tc>
        <w:tc>
          <w:tcPr>
            <w:tcW w:w="1387" w:type="dxa"/>
            <w:tcMar>
              <w:top w:w="80" w:type="dxa"/>
              <w:left w:w="90" w:type="dxa"/>
              <w:bottom w:w="80" w:type="dxa"/>
              <w:right w:w="90" w:type="dxa"/>
            </w:tcMar>
            <w:vAlign w:val="center"/>
          </w:tcPr>
          <w:p w14:paraId="7E969FF6" w14:textId="77777777" w:rsidR="000205A2" w:rsidRDefault="00000000">
            <w:r>
              <w:t>20 Mar 2026</w:t>
            </w:r>
          </w:p>
        </w:tc>
      </w:tr>
      <w:tr w:rsidR="008F0A3A" w14:paraId="6E719892" w14:textId="77777777" w:rsidTr="008F0A3A">
        <w:tc>
          <w:tcPr>
            <w:tcW w:w="2965" w:type="dxa"/>
            <w:tcMar>
              <w:top w:w="80" w:type="dxa"/>
              <w:left w:w="90" w:type="dxa"/>
              <w:bottom w:w="80" w:type="dxa"/>
              <w:right w:w="90" w:type="dxa"/>
            </w:tcMar>
            <w:vAlign w:val="center"/>
          </w:tcPr>
          <w:p w14:paraId="1CCD861D" w14:textId="77777777" w:rsidR="008F0A3A" w:rsidRDefault="008F0A3A" w:rsidP="000C79E5">
            <w:pPr>
              <w:spacing w:before="40" w:after="40"/>
            </w:pPr>
            <w:r>
              <w:rPr>
                <w:sz w:val="19"/>
              </w:rPr>
              <w:t>Pillar 3 - Responsible growth</w:t>
            </w:r>
          </w:p>
        </w:tc>
        <w:tc>
          <w:tcPr>
            <w:tcW w:w="2430" w:type="dxa"/>
            <w:tcMar>
              <w:top w:w="80" w:type="dxa"/>
              <w:left w:w="90" w:type="dxa"/>
              <w:bottom w:w="80" w:type="dxa"/>
              <w:right w:w="90" w:type="dxa"/>
            </w:tcMar>
            <w:vAlign w:val="center"/>
          </w:tcPr>
          <w:p w14:paraId="139ED2BE" w14:textId="77777777" w:rsidR="008F0A3A" w:rsidRDefault="008F0A3A" w:rsidP="000C79E5">
            <w:pPr>
              <w:spacing w:before="40" w:after="40"/>
            </w:pPr>
            <w:r>
              <w:rPr>
                <w:sz w:val="19"/>
              </w:rPr>
              <w:t>Sofia Marin</w:t>
            </w:r>
          </w:p>
        </w:tc>
        <w:tc>
          <w:tcPr>
            <w:tcW w:w="2280" w:type="dxa"/>
            <w:tcMar>
              <w:top w:w="80" w:type="dxa"/>
              <w:left w:w="90" w:type="dxa"/>
              <w:bottom w:w="80" w:type="dxa"/>
              <w:right w:w="90" w:type="dxa"/>
            </w:tcMar>
            <w:vAlign w:val="center"/>
          </w:tcPr>
          <w:p w14:paraId="4F076C15" w14:textId="77777777" w:rsidR="008F0A3A" w:rsidRDefault="008F0A3A" w:rsidP="000C79E5">
            <w:pPr>
              <w:spacing w:before="40" w:after="40"/>
            </w:pPr>
            <w:r>
              <w:rPr>
                <w:sz w:val="19"/>
              </w:rPr>
              <w:t>Leila Haddad</w:t>
            </w:r>
          </w:p>
        </w:tc>
        <w:tc>
          <w:tcPr>
            <w:tcW w:w="1387" w:type="dxa"/>
            <w:tcMar>
              <w:top w:w="80" w:type="dxa"/>
              <w:left w:w="90" w:type="dxa"/>
              <w:bottom w:w="80" w:type="dxa"/>
              <w:right w:w="90" w:type="dxa"/>
            </w:tcMar>
            <w:vAlign w:val="center"/>
          </w:tcPr>
          <w:p w14:paraId="6ACA5025" w14:textId="77777777" w:rsidR="000205A2" w:rsidRDefault="00000000">
            <w:r>
              <w:t>20 Mar 2026</w:t>
            </w:r>
          </w:p>
        </w:tc>
      </w:tr>
    </w:tbl>
    <w:p w14:paraId="16F6FFEB" w14:textId="77777777" w:rsidR="008F0A3A" w:rsidRDefault="008F0A3A" w:rsidP="008F0A3A">
      <w:pPr>
        <w:pStyle w:val="Heading1"/>
      </w:pPr>
      <w:r>
        <w:t>Roof message</w:t>
      </w:r>
    </w:p>
    <w:tbl>
      <w:tblPr>
        <w:tblStyle w:val="TableGrid"/>
        <w:tblW w:w="0" w:type="auto"/>
        <w:tblLook w:val="04A0" w:firstRow="1" w:lastRow="0" w:firstColumn="1" w:lastColumn="0" w:noHBand="0" w:noVBand="1"/>
      </w:tblPr>
      <w:tblGrid>
        <w:gridCol w:w="1950"/>
        <w:gridCol w:w="7112"/>
      </w:tblGrid>
      <w:tr w:rsidR="008F0A3A" w14:paraId="1E57AF2B" w14:textId="77777777" w:rsidTr="008F0A3A">
        <w:tc>
          <w:tcPr>
            <w:tcW w:w="1950" w:type="dxa"/>
            <w:shd w:val="clear" w:color="auto" w:fill="000000"/>
            <w:tcMar>
              <w:top w:w="80" w:type="dxa"/>
              <w:left w:w="90" w:type="dxa"/>
              <w:bottom w:w="80" w:type="dxa"/>
              <w:right w:w="90" w:type="dxa"/>
            </w:tcMar>
            <w:vAlign w:val="center"/>
          </w:tcPr>
          <w:p w14:paraId="1CC49CFC" w14:textId="77777777" w:rsidR="008F0A3A" w:rsidRDefault="008F0A3A" w:rsidP="000C79E5">
            <w:pPr>
              <w:spacing w:before="40" w:after="40"/>
            </w:pPr>
            <w:r>
              <w:rPr>
                <w:b/>
                <w:color w:val="FFFFFF"/>
              </w:rPr>
              <w:t>Element</w:t>
            </w:r>
          </w:p>
        </w:tc>
        <w:tc>
          <w:tcPr>
            <w:tcW w:w="7112" w:type="dxa"/>
            <w:shd w:val="clear" w:color="auto" w:fill="000000"/>
            <w:tcMar>
              <w:top w:w="80" w:type="dxa"/>
              <w:left w:w="90" w:type="dxa"/>
              <w:bottom w:w="80" w:type="dxa"/>
              <w:right w:w="90" w:type="dxa"/>
            </w:tcMar>
            <w:vAlign w:val="center"/>
          </w:tcPr>
          <w:p w14:paraId="3DC73561" w14:textId="77777777" w:rsidR="008F0A3A" w:rsidRDefault="008F0A3A" w:rsidP="000C79E5">
            <w:pPr>
              <w:spacing w:before="40" w:after="40"/>
            </w:pPr>
            <w:r>
              <w:rPr>
                <w:b/>
                <w:color w:val="FFFFFF"/>
              </w:rPr>
              <w:t xml:space="preserve">Sample content for </w:t>
            </w:r>
            <w:proofErr w:type="spellStart"/>
            <w:r>
              <w:rPr>
                <w:b/>
                <w:color w:val="FFFFFF"/>
              </w:rPr>
              <w:t>BrightRoute</w:t>
            </w:r>
            <w:proofErr w:type="spellEnd"/>
            <w:r>
              <w:rPr>
                <w:b/>
                <w:color w:val="FFFFFF"/>
              </w:rPr>
              <w:t xml:space="preserve"> Commerce</w:t>
            </w:r>
          </w:p>
        </w:tc>
      </w:tr>
      <w:tr w:rsidR="008F0A3A" w14:paraId="7AAD6DFF" w14:textId="77777777" w:rsidTr="008F0A3A">
        <w:tc>
          <w:tcPr>
            <w:tcW w:w="1950" w:type="dxa"/>
            <w:tcMar>
              <w:top w:w="80" w:type="dxa"/>
              <w:left w:w="90" w:type="dxa"/>
              <w:bottom w:w="80" w:type="dxa"/>
              <w:right w:w="90" w:type="dxa"/>
            </w:tcMar>
            <w:vAlign w:val="center"/>
          </w:tcPr>
          <w:p w14:paraId="24E7D1CD" w14:textId="77777777" w:rsidR="008F0A3A" w:rsidRDefault="008F0A3A" w:rsidP="000C79E5">
            <w:pPr>
              <w:spacing w:before="40" w:after="40"/>
            </w:pPr>
            <w:r>
              <w:rPr>
                <w:sz w:val="19"/>
              </w:rPr>
              <w:t>Message in a sentence</w:t>
            </w:r>
          </w:p>
        </w:tc>
        <w:tc>
          <w:tcPr>
            <w:tcW w:w="7112" w:type="dxa"/>
            <w:tcMar>
              <w:top w:w="80" w:type="dxa"/>
              <w:left w:w="90" w:type="dxa"/>
              <w:bottom w:w="80" w:type="dxa"/>
              <w:right w:w="90" w:type="dxa"/>
            </w:tcMar>
            <w:vAlign w:val="center"/>
          </w:tcPr>
          <w:p w14:paraId="6C685C65" w14:textId="77777777" w:rsidR="008F0A3A" w:rsidRDefault="008F0A3A" w:rsidP="000C79E5">
            <w:pPr>
              <w:spacing w:before="40" w:after="40"/>
            </w:pPr>
            <w:proofErr w:type="spellStart"/>
            <w:r>
              <w:t>BrightRoute</w:t>
            </w:r>
            <w:proofErr w:type="spellEnd"/>
            <w:r>
              <w:t xml:space="preserve"> helps European brands grow by combining practical technology, dependable fulfilment, and a responsible long-term approach.</w:t>
            </w:r>
          </w:p>
        </w:tc>
      </w:tr>
      <w:tr w:rsidR="008F0A3A" w14:paraId="2E1844EE" w14:textId="77777777" w:rsidTr="008F0A3A">
        <w:tc>
          <w:tcPr>
            <w:tcW w:w="1950" w:type="dxa"/>
            <w:tcMar>
              <w:top w:w="80" w:type="dxa"/>
              <w:left w:w="90" w:type="dxa"/>
              <w:bottom w:w="80" w:type="dxa"/>
              <w:right w:w="90" w:type="dxa"/>
            </w:tcMar>
            <w:vAlign w:val="center"/>
          </w:tcPr>
          <w:p w14:paraId="6A61D1A3" w14:textId="77777777" w:rsidR="000205A2" w:rsidRDefault="00000000">
            <w:r>
              <w:t>Message in a paragraph</w:t>
            </w:r>
          </w:p>
        </w:tc>
        <w:tc>
          <w:tcPr>
            <w:tcW w:w="7112" w:type="dxa"/>
            <w:tcMar>
              <w:top w:w="80" w:type="dxa"/>
              <w:left w:w="90" w:type="dxa"/>
              <w:bottom w:w="80" w:type="dxa"/>
              <w:right w:w="90" w:type="dxa"/>
            </w:tcMar>
            <w:vAlign w:val="center"/>
          </w:tcPr>
          <w:p w14:paraId="45B439C0" w14:textId="77777777" w:rsidR="008F0A3A" w:rsidRDefault="008F0A3A" w:rsidP="000C79E5">
            <w:pPr>
              <w:spacing w:before="40" w:after="40"/>
            </w:pPr>
            <w:proofErr w:type="spellStart"/>
            <w:r>
              <w:t>BrightRoute</w:t>
            </w:r>
            <w:proofErr w:type="spellEnd"/>
            <w:r>
              <w:t xml:space="preserve"> Commerce is a fictional commerce and fulfilment company that helps small and mid-sized brands reach customers across Europe. The company's story is not just about logistics; it is about helping merchants grow with fewer barriers, giving customers a more dependable experience, and scaling in a way that communities can trust.</w:t>
            </w:r>
          </w:p>
        </w:tc>
      </w:tr>
      <w:tr w:rsidR="008F0A3A" w14:paraId="59E4602B" w14:textId="77777777" w:rsidTr="008F0A3A">
        <w:tc>
          <w:tcPr>
            <w:tcW w:w="1950" w:type="dxa"/>
            <w:tcMar>
              <w:top w:w="80" w:type="dxa"/>
              <w:left w:w="90" w:type="dxa"/>
              <w:bottom w:w="80" w:type="dxa"/>
              <w:right w:w="90" w:type="dxa"/>
            </w:tcMar>
            <w:vAlign w:val="center"/>
          </w:tcPr>
          <w:p w14:paraId="7419318E" w14:textId="77777777" w:rsidR="008F0A3A" w:rsidRDefault="008F0A3A" w:rsidP="000C79E5">
            <w:pPr>
              <w:spacing w:before="40" w:after="40"/>
            </w:pPr>
            <w:r>
              <w:rPr>
                <w:sz w:val="19"/>
              </w:rPr>
              <w:t>Message in a half-page</w:t>
            </w:r>
          </w:p>
        </w:tc>
        <w:tc>
          <w:tcPr>
            <w:tcW w:w="7112" w:type="dxa"/>
            <w:tcMar>
              <w:top w:w="80" w:type="dxa"/>
              <w:left w:w="90" w:type="dxa"/>
              <w:bottom w:w="80" w:type="dxa"/>
              <w:right w:w="90" w:type="dxa"/>
            </w:tcMar>
            <w:vAlign w:val="center"/>
          </w:tcPr>
          <w:p w14:paraId="058EFF4A" w14:textId="77777777" w:rsidR="008F0A3A" w:rsidRDefault="008F0A3A" w:rsidP="000C79E5">
            <w:pPr>
              <w:spacing w:before="40" w:after="40"/>
            </w:pPr>
            <w:proofErr w:type="spellStart"/>
            <w:r>
              <w:t>BrightRoute</w:t>
            </w:r>
            <w:proofErr w:type="spellEnd"/>
            <w:r>
              <w:t xml:space="preserve"> exists to make growth easier for independent brands that want to serve customers across borders without building everything from scratch. The company provides fulfilment tools, merchant software, and delivery coordination designed for businesses that need reach and </w:t>
            </w:r>
            <w:proofErr w:type="gramStart"/>
            <w:r>
              <w:t>reliability, but</w:t>
            </w:r>
            <w:proofErr w:type="gramEnd"/>
            <w:r>
              <w:t xml:space="preserve"> also need a partner that understands local realities. The overarching company narrative should stay stable: </w:t>
            </w:r>
            <w:proofErr w:type="spellStart"/>
            <w:r>
              <w:t>BrightRoute</w:t>
            </w:r>
            <w:proofErr w:type="spellEnd"/>
            <w:r>
              <w:t xml:space="preserve"> creates practical growth opportunities, supports smoother operations, and expands responsibly. That roof message is then proven through the three pillars below rather than repeated in disconnected ways.</w:t>
            </w:r>
          </w:p>
        </w:tc>
      </w:tr>
      <w:tr w:rsidR="008F0A3A" w14:paraId="3B701AB6" w14:textId="77777777" w:rsidTr="008F0A3A">
        <w:tc>
          <w:tcPr>
            <w:tcW w:w="1950" w:type="dxa"/>
            <w:tcMar>
              <w:top w:w="80" w:type="dxa"/>
              <w:left w:w="90" w:type="dxa"/>
              <w:bottom w:w="80" w:type="dxa"/>
              <w:right w:w="90" w:type="dxa"/>
            </w:tcMar>
            <w:vAlign w:val="center"/>
          </w:tcPr>
          <w:p w14:paraId="294A4ADB" w14:textId="77777777" w:rsidR="008F0A3A" w:rsidRDefault="008F0A3A" w:rsidP="000C79E5">
            <w:pPr>
              <w:spacing w:before="40" w:after="40"/>
            </w:pPr>
            <w:r>
              <w:rPr>
                <w:sz w:val="19"/>
              </w:rPr>
              <w:t>Media adaption</w:t>
            </w:r>
          </w:p>
        </w:tc>
        <w:tc>
          <w:tcPr>
            <w:tcW w:w="7112" w:type="dxa"/>
            <w:tcMar>
              <w:top w:w="80" w:type="dxa"/>
              <w:left w:w="90" w:type="dxa"/>
              <w:bottom w:w="80" w:type="dxa"/>
              <w:right w:w="90" w:type="dxa"/>
            </w:tcMar>
            <w:vAlign w:val="center"/>
          </w:tcPr>
          <w:p w14:paraId="2226895B" w14:textId="77777777" w:rsidR="008F0A3A" w:rsidRDefault="008F0A3A" w:rsidP="000C79E5">
            <w:pPr>
              <w:spacing w:before="40" w:after="40"/>
            </w:pPr>
            <w:proofErr w:type="spellStart"/>
            <w:r>
              <w:t>BrightRoute</w:t>
            </w:r>
            <w:proofErr w:type="spellEnd"/>
            <w:r>
              <w:t xml:space="preserve"> is a growth partner for brands that need reach, reliability, and a practical story about responsible expansion.</w:t>
            </w:r>
          </w:p>
        </w:tc>
      </w:tr>
      <w:tr w:rsidR="008F0A3A" w14:paraId="0E845B0D" w14:textId="77777777" w:rsidTr="008F0A3A">
        <w:tc>
          <w:tcPr>
            <w:tcW w:w="1950" w:type="dxa"/>
            <w:tcMar>
              <w:top w:w="80" w:type="dxa"/>
              <w:left w:w="90" w:type="dxa"/>
              <w:bottom w:w="80" w:type="dxa"/>
              <w:right w:w="90" w:type="dxa"/>
            </w:tcMar>
            <w:vAlign w:val="center"/>
          </w:tcPr>
          <w:p w14:paraId="56BD89DD" w14:textId="77777777" w:rsidR="008F0A3A" w:rsidRDefault="008F0A3A" w:rsidP="000C79E5">
            <w:pPr>
              <w:spacing w:before="40" w:after="40"/>
              <w:rPr>
                <w:sz w:val="19"/>
              </w:rPr>
            </w:pPr>
            <w:proofErr w:type="gramStart"/>
            <w:r>
              <w:rPr>
                <w:sz w:val="19"/>
              </w:rPr>
              <w:t>Policymakers</w:t>
            </w:r>
            <w:proofErr w:type="gramEnd"/>
            <w:r>
              <w:rPr>
                <w:sz w:val="19"/>
              </w:rPr>
              <w:t xml:space="preserve"> adaptation</w:t>
            </w:r>
          </w:p>
        </w:tc>
        <w:tc>
          <w:tcPr>
            <w:tcW w:w="7112" w:type="dxa"/>
            <w:tcMar>
              <w:top w:w="80" w:type="dxa"/>
              <w:left w:w="90" w:type="dxa"/>
              <w:bottom w:w="80" w:type="dxa"/>
              <w:right w:w="90" w:type="dxa"/>
            </w:tcMar>
            <w:vAlign w:val="center"/>
          </w:tcPr>
          <w:p w14:paraId="405EC3A5" w14:textId="77777777" w:rsidR="008F0A3A" w:rsidRDefault="008F0A3A" w:rsidP="000C79E5">
            <w:pPr>
              <w:spacing w:before="40" w:after="40"/>
            </w:pPr>
            <w:proofErr w:type="spellStart"/>
            <w:r>
              <w:t>BrightRoute</w:t>
            </w:r>
            <w:proofErr w:type="spellEnd"/>
            <w:r>
              <w:t xml:space="preserve"> can support European competitiveness when cross-border commerce works more smoothly for smaller merchants.</w:t>
            </w:r>
          </w:p>
        </w:tc>
      </w:tr>
      <w:tr w:rsidR="008F0A3A" w14:paraId="406DC6ED" w14:textId="77777777" w:rsidTr="008F0A3A">
        <w:tc>
          <w:tcPr>
            <w:tcW w:w="1950" w:type="dxa"/>
            <w:tcMar>
              <w:top w:w="80" w:type="dxa"/>
              <w:left w:w="90" w:type="dxa"/>
              <w:bottom w:w="80" w:type="dxa"/>
              <w:right w:w="90" w:type="dxa"/>
            </w:tcMar>
            <w:vAlign w:val="center"/>
          </w:tcPr>
          <w:p w14:paraId="06A5A77E" w14:textId="77777777" w:rsidR="008F0A3A" w:rsidRPr="008F0A3A" w:rsidRDefault="00C06D07" w:rsidP="000C79E5">
            <w:pPr>
              <w:spacing w:before="40" w:after="40"/>
              <w:rPr>
                <w:sz w:val="19"/>
                <w:lang w:val="en-US"/>
              </w:rPr>
            </w:pPr>
            <w:r>
              <w:rPr>
                <w:sz w:val="19"/>
                <w:lang w:val="en-US"/>
              </w:rPr>
              <w:t>Partners</w:t>
            </w:r>
            <w:r w:rsidR="008F0A3A">
              <w:rPr>
                <w:sz w:val="19"/>
                <w:lang w:val="en-US"/>
              </w:rPr>
              <w:t xml:space="preserve"> adaptation</w:t>
            </w:r>
          </w:p>
        </w:tc>
        <w:tc>
          <w:tcPr>
            <w:tcW w:w="7112" w:type="dxa"/>
            <w:tcMar>
              <w:top w:w="80" w:type="dxa"/>
              <w:left w:w="90" w:type="dxa"/>
              <w:bottom w:w="80" w:type="dxa"/>
              <w:right w:w="90" w:type="dxa"/>
            </w:tcMar>
            <w:vAlign w:val="center"/>
          </w:tcPr>
          <w:p w14:paraId="1C172EDE" w14:textId="77777777" w:rsidR="008F0A3A" w:rsidRDefault="008F0A3A" w:rsidP="000C79E5">
            <w:pPr>
              <w:spacing w:before="40" w:after="40"/>
            </w:pPr>
            <w:r>
              <w:t>The company's role is to make growth simpler for merchants while building an operation that people trust.</w:t>
            </w:r>
          </w:p>
        </w:tc>
      </w:tr>
    </w:tbl>
    <w:p w14:paraId="1925CB2A" w14:textId="77777777" w:rsidR="00EF2C50" w:rsidRDefault="00EF2C50" w:rsidP="00EF2C50"/>
    <w:p w14:paraId="4E75487D" w14:textId="60EDAD7F" w:rsidR="00A87080" w:rsidRDefault="00C06D07" w:rsidP="00A87080">
      <w:pPr>
        <w:pStyle w:val="Heading1"/>
      </w:pPr>
      <w:r>
        <w:lastRenderedPageBreak/>
        <w:t>Pillar 1: Growth for merchants</w:t>
      </w:r>
    </w:p>
    <w:tbl>
      <w:tblPr>
        <w:tblStyle w:val="TableGrid"/>
        <w:tblW w:w="0" w:type="auto"/>
        <w:tblLook w:val="04A0" w:firstRow="1" w:lastRow="0" w:firstColumn="1" w:lastColumn="0" w:noHBand="0" w:noVBand="1"/>
      </w:tblPr>
      <w:tblGrid>
        <w:gridCol w:w="1950"/>
        <w:gridCol w:w="7112"/>
      </w:tblGrid>
      <w:tr w:rsidR="00C06D07" w14:paraId="40E4CDF6" w14:textId="77777777" w:rsidTr="000C79E5">
        <w:tc>
          <w:tcPr>
            <w:tcW w:w="1950" w:type="dxa"/>
            <w:shd w:val="clear" w:color="auto" w:fill="000000"/>
            <w:tcMar>
              <w:top w:w="80" w:type="dxa"/>
              <w:left w:w="90" w:type="dxa"/>
              <w:bottom w:w="80" w:type="dxa"/>
              <w:right w:w="90" w:type="dxa"/>
            </w:tcMar>
            <w:vAlign w:val="center"/>
          </w:tcPr>
          <w:p w14:paraId="046ACDD0" w14:textId="77777777" w:rsidR="00C06D07" w:rsidRDefault="00C06D07" w:rsidP="000C79E5">
            <w:pPr>
              <w:spacing w:before="40" w:after="40"/>
            </w:pPr>
            <w:r>
              <w:rPr>
                <w:b/>
                <w:color w:val="FFFFFF"/>
              </w:rPr>
              <w:t>Element</w:t>
            </w:r>
          </w:p>
        </w:tc>
        <w:tc>
          <w:tcPr>
            <w:tcW w:w="7112" w:type="dxa"/>
            <w:shd w:val="clear" w:color="auto" w:fill="000000"/>
            <w:tcMar>
              <w:top w:w="80" w:type="dxa"/>
              <w:left w:w="90" w:type="dxa"/>
              <w:bottom w:w="80" w:type="dxa"/>
              <w:right w:w="90" w:type="dxa"/>
            </w:tcMar>
            <w:vAlign w:val="center"/>
          </w:tcPr>
          <w:p w14:paraId="10665558" w14:textId="77777777" w:rsidR="00C06D07" w:rsidRDefault="00C06D07" w:rsidP="000C79E5">
            <w:pPr>
              <w:spacing w:before="40" w:after="40"/>
            </w:pPr>
            <w:r>
              <w:rPr>
                <w:b/>
                <w:color w:val="FFFFFF"/>
              </w:rPr>
              <w:t xml:space="preserve">Sample content for </w:t>
            </w:r>
            <w:proofErr w:type="spellStart"/>
            <w:r>
              <w:rPr>
                <w:b/>
                <w:color w:val="FFFFFF"/>
              </w:rPr>
              <w:t>BrightRoute</w:t>
            </w:r>
            <w:proofErr w:type="spellEnd"/>
            <w:r>
              <w:rPr>
                <w:b/>
                <w:color w:val="FFFFFF"/>
              </w:rPr>
              <w:t xml:space="preserve"> Commerce</w:t>
            </w:r>
          </w:p>
        </w:tc>
      </w:tr>
      <w:tr w:rsidR="00C06D07" w14:paraId="38EFEB94" w14:textId="77777777" w:rsidTr="000C79E5">
        <w:tc>
          <w:tcPr>
            <w:tcW w:w="1950" w:type="dxa"/>
            <w:tcMar>
              <w:top w:w="80" w:type="dxa"/>
              <w:left w:w="90" w:type="dxa"/>
              <w:bottom w:w="80" w:type="dxa"/>
              <w:right w:w="90" w:type="dxa"/>
            </w:tcMar>
            <w:vAlign w:val="center"/>
          </w:tcPr>
          <w:p w14:paraId="24BE2AAA" w14:textId="77777777" w:rsidR="00C06D07" w:rsidRDefault="00C06D07" w:rsidP="000C79E5">
            <w:pPr>
              <w:spacing w:before="40" w:after="40"/>
            </w:pPr>
            <w:r>
              <w:rPr>
                <w:sz w:val="19"/>
              </w:rPr>
              <w:t>Message in a sentence</w:t>
            </w:r>
          </w:p>
        </w:tc>
        <w:tc>
          <w:tcPr>
            <w:tcW w:w="7112" w:type="dxa"/>
            <w:tcMar>
              <w:top w:w="80" w:type="dxa"/>
              <w:left w:w="90" w:type="dxa"/>
              <w:bottom w:w="80" w:type="dxa"/>
              <w:right w:w="90" w:type="dxa"/>
            </w:tcMar>
            <w:vAlign w:val="center"/>
          </w:tcPr>
          <w:p w14:paraId="2E777C7F" w14:textId="77777777" w:rsidR="000205A2" w:rsidRDefault="00000000">
            <w:pPr>
              <w:spacing w:after="40" w:line="264" w:lineRule="auto"/>
            </w:pPr>
            <w:r>
              <w:t>BrightRoute helps merchants grow by giving smaller brands the tools, reach, and support to scale across Europe with less friction.</w:t>
            </w:r>
          </w:p>
        </w:tc>
      </w:tr>
      <w:tr w:rsidR="00C06D07" w14:paraId="584C2AFE" w14:textId="77777777" w:rsidTr="000C79E5">
        <w:tc>
          <w:tcPr>
            <w:tcW w:w="1950" w:type="dxa"/>
            <w:tcMar>
              <w:top w:w="80" w:type="dxa"/>
              <w:left w:w="90" w:type="dxa"/>
              <w:bottom w:w="80" w:type="dxa"/>
              <w:right w:w="90" w:type="dxa"/>
            </w:tcMar>
            <w:vAlign w:val="center"/>
          </w:tcPr>
          <w:p w14:paraId="672D65A1" w14:textId="77777777" w:rsidR="000205A2" w:rsidRDefault="00000000">
            <w:r>
              <w:t>Message in a paragraph</w:t>
            </w:r>
          </w:p>
        </w:tc>
        <w:tc>
          <w:tcPr>
            <w:tcW w:w="7112" w:type="dxa"/>
            <w:tcMar>
              <w:top w:w="80" w:type="dxa"/>
              <w:left w:w="90" w:type="dxa"/>
              <w:bottom w:w="80" w:type="dxa"/>
              <w:right w:w="90" w:type="dxa"/>
            </w:tcMar>
            <w:vAlign w:val="center"/>
          </w:tcPr>
          <w:p w14:paraId="53A0BBA9" w14:textId="77777777" w:rsidR="000205A2" w:rsidRDefault="00000000">
            <w:pPr>
              <w:spacing w:after="40" w:line="264" w:lineRule="auto"/>
            </w:pPr>
            <w:r>
              <w:t>Growth for merchants is the clearest proof of the BrightRoute story. The company makes it easier for smaller brands to sell across borders by combining fulfilment infrastructure, merchant software, and practical onboarding support. Instead of asking merchants to build complex logistics capabilities themselves, BrightRoute lowers the operational barrier to expansion and lets them focus on product, brand, and customer relationships.</w:t>
            </w:r>
          </w:p>
        </w:tc>
      </w:tr>
      <w:tr w:rsidR="00C06D07" w14:paraId="24E660B8" w14:textId="77777777" w:rsidTr="000C79E5">
        <w:tc>
          <w:tcPr>
            <w:tcW w:w="1950" w:type="dxa"/>
            <w:tcMar>
              <w:top w:w="80" w:type="dxa"/>
              <w:left w:w="90" w:type="dxa"/>
              <w:bottom w:w="80" w:type="dxa"/>
              <w:right w:w="90" w:type="dxa"/>
            </w:tcMar>
            <w:vAlign w:val="center"/>
          </w:tcPr>
          <w:p w14:paraId="7D1A41FD" w14:textId="77777777" w:rsidR="00C06D07" w:rsidRDefault="00C06D07" w:rsidP="000C79E5">
            <w:pPr>
              <w:spacing w:before="40" w:after="40"/>
            </w:pPr>
            <w:r>
              <w:rPr>
                <w:sz w:val="19"/>
              </w:rPr>
              <w:t>Message in a half-page</w:t>
            </w:r>
          </w:p>
        </w:tc>
        <w:tc>
          <w:tcPr>
            <w:tcW w:w="7112" w:type="dxa"/>
            <w:tcMar>
              <w:top w:w="80" w:type="dxa"/>
              <w:left w:w="90" w:type="dxa"/>
              <w:bottom w:w="80" w:type="dxa"/>
              <w:right w:w="90" w:type="dxa"/>
            </w:tcMar>
            <w:vAlign w:val="center"/>
          </w:tcPr>
          <w:p w14:paraId="73628071" w14:textId="77777777" w:rsidR="000205A2" w:rsidRDefault="00000000">
            <w:pPr>
              <w:spacing w:after="40" w:line="264" w:lineRule="auto"/>
            </w:pPr>
            <w:r>
              <w:t>For many small and mid-sized brands, growth stalls not because demand is weak but because expansion becomes operationally difficult. New markets mean new delivery expectations, more inventory complexity, and higher coordination costs. BrightRoute is designed to reduce those barriers. The company offers merchants a practical route into cross-border commerce through shared fulfilment capabilities, straightforward software, and support that fits businesses without large in-house operations teams. In the messaging house, this pillar should always sound concrete and merchant-centred: BrightRoute is useful because it turns growth from a major operational leap into a more manageable step.</w:t>
            </w:r>
          </w:p>
        </w:tc>
      </w:tr>
      <w:tr w:rsidR="00C06D07" w14:paraId="08B4D3B4" w14:textId="77777777" w:rsidTr="000C79E5">
        <w:tc>
          <w:tcPr>
            <w:tcW w:w="1950" w:type="dxa"/>
            <w:tcMar>
              <w:top w:w="80" w:type="dxa"/>
              <w:left w:w="90" w:type="dxa"/>
              <w:bottom w:w="80" w:type="dxa"/>
              <w:right w:w="90" w:type="dxa"/>
            </w:tcMar>
            <w:vAlign w:val="center"/>
          </w:tcPr>
          <w:p w14:paraId="35193B73" w14:textId="77777777" w:rsidR="00C06D07" w:rsidRDefault="00C06D07" w:rsidP="000C79E5">
            <w:pPr>
              <w:spacing w:before="40" w:after="40"/>
              <w:rPr>
                <w:sz w:val="19"/>
              </w:rPr>
            </w:pPr>
            <w:r>
              <w:rPr>
                <w:sz w:val="19"/>
              </w:rPr>
              <w:t>Killer facts/proof points</w:t>
            </w:r>
          </w:p>
        </w:tc>
        <w:tc>
          <w:tcPr>
            <w:tcW w:w="7112" w:type="dxa"/>
            <w:tcMar>
              <w:top w:w="80" w:type="dxa"/>
              <w:left w:w="90" w:type="dxa"/>
              <w:bottom w:w="80" w:type="dxa"/>
              <w:right w:w="90" w:type="dxa"/>
            </w:tcMar>
            <w:vAlign w:val="center"/>
          </w:tcPr>
          <w:p w14:paraId="240A84FE" w14:textId="77777777" w:rsidR="000205A2" w:rsidRDefault="00000000">
            <w:pPr>
              <w:spacing w:after="40" w:line="264" w:lineRule="auto"/>
            </w:pPr>
            <w:r>
              <w:t>75,000 fictional merchants use BrightRoute tools across 12 European markets.</w:t>
            </w:r>
          </w:p>
          <w:p w14:paraId="429CD26C" w14:textId="77777777" w:rsidR="000205A2" w:rsidRDefault="00000000">
            <w:pPr>
              <w:spacing w:after="40" w:line="264" w:lineRule="auto"/>
            </w:pPr>
            <w:r>
              <w:t>42% of new merchant accounts are businesses with fewer than 20 employees.</w:t>
            </w:r>
          </w:p>
          <w:p w14:paraId="15416462" w14:textId="77777777" w:rsidR="000205A2" w:rsidRDefault="00000000">
            <w:pPr>
              <w:spacing w:after="40" w:line="264" w:lineRule="auto"/>
            </w:pPr>
            <w:r>
              <w:t>Merchants using BrightRoute cross-border fulfilment launch in new markets 30% faster on average than merchants managing expansion alone.</w:t>
            </w:r>
          </w:p>
        </w:tc>
      </w:tr>
      <w:tr w:rsidR="00C06D07" w14:paraId="72181C72" w14:textId="77777777" w:rsidTr="000C79E5">
        <w:tc>
          <w:tcPr>
            <w:tcW w:w="1950" w:type="dxa"/>
            <w:tcMar>
              <w:top w:w="80" w:type="dxa"/>
              <w:left w:w="90" w:type="dxa"/>
              <w:bottom w:w="80" w:type="dxa"/>
              <w:right w:w="90" w:type="dxa"/>
            </w:tcMar>
            <w:vAlign w:val="center"/>
          </w:tcPr>
          <w:p w14:paraId="1C2A5A8A" w14:textId="77777777" w:rsidR="00C06D07" w:rsidRDefault="00C06D07" w:rsidP="000C79E5">
            <w:pPr>
              <w:spacing w:before="40" w:after="40"/>
            </w:pPr>
            <w:r>
              <w:rPr>
                <w:sz w:val="19"/>
              </w:rPr>
              <w:t>Media adaption</w:t>
            </w:r>
          </w:p>
        </w:tc>
        <w:tc>
          <w:tcPr>
            <w:tcW w:w="7112" w:type="dxa"/>
            <w:tcMar>
              <w:top w:w="80" w:type="dxa"/>
              <w:left w:w="90" w:type="dxa"/>
              <w:bottom w:w="80" w:type="dxa"/>
              <w:right w:w="90" w:type="dxa"/>
            </w:tcMar>
            <w:vAlign w:val="center"/>
          </w:tcPr>
          <w:p w14:paraId="1FE011D0" w14:textId="77777777" w:rsidR="000205A2" w:rsidRDefault="00000000">
            <w:pPr>
              <w:spacing w:after="40" w:line="264" w:lineRule="auto"/>
            </w:pPr>
            <w:r>
              <w:t>BrightRoute gives smaller brands a more realistic path to European growth without needing enterprise-scale logistics from day one.</w:t>
            </w:r>
          </w:p>
        </w:tc>
      </w:tr>
      <w:tr w:rsidR="00C06D07" w14:paraId="1096C413" w14:textId="77777777" w:rsidTr="000C79E5">
        <w:tc>
          <w:tcPr>
            <w:tcW w:w="1950" w:type="dxa"/>
            <w:tcMar>
              <w:top w:w="80" w:type="dxa"/>
              <w:left w:w="90" w:type="dxa"/>
              <w:bottom w:w="80" w:type="dxa"/>
              <w:right w:w="90" w:type="dxa"/>
            </w:tcMar>
            <w:vAlign w:val="center"/>
          </w:tcPr>
          <w:p w14:paraId="220830FC" w14:textId="77777777" w:rsidR="00C06D07" w:rsidRDefault="00C06D07" w:rsidP="000C79E5">
            <w:pPr>
              <w:spacing w:before="40" w:after="40"/>
              <w:rPr>
                <w:sz w:val="19"/>
              </w:rPr>
            </w:pPr>
            <w:proofErr w:type="gramStart"/>
            <w:r>
              <w:rPr>
                <w:sz w:val="19"/>
              </w:rPr>
              <w:t>Policymakers</w:t>
            </w:r>
            <w:proofErr w:type="gramEnd"/>
            <w:r>
              <w:rPr>
                <w:sz w:val="19"/>
              </w:rPr>
              <w:t xml:space="preserve"> adaptation</w:t>
            </w:r>
          </w:p>
        </w:tc>
        <w:tc>
          <w:tcPr>
            <w:tcW w:w="7112" w:type="dxa"/>
            <w:tcMar>
              <w:top w:w="80" w:type="dxa"/>
              <w:left w:w="90" w:type="dxa"/>
              <w:bottom w:w="80" w:type="dxa"/>
              <w:right w:w="90" w:type="dxa"/>
            </w:tcMar>
            <w:vAlign w:val="center"/>
          </w:tcPr>
          <w:p w14:paraId="2F4BF8DB" w14:textId="77777777" w:rsidR="000205A2" w:rsidRDefault="00000000">
            <w:pPr>
              <w:spacing w:after="40" w:line="264" w:lineRule="auto"/>
            </w:pPr>
            <w:r>
              <w:t>When smaller merchants can access practical cross-border infrastructure, competition and digital growth are not limited to the largest incumbents.</w:t>
            </w:r>
          </w:p>
        </w:tc>
      </w:tr>
      <w:tr w:rsidR="00C06D07" w14:paraId="64878E6B" w14:textId="77777777" w:rsidTr="000C79E5">
        <w:tc>
          <w:tcPr>
            <w:tcW w:w="1950" w:type="dxa"/>
            <w:tcMar>
              <w:top w:w="80" w:type="dxa"/>
              <w:left w:w="90" w:type="dxa"/>
              <w:bottom w:w="80" w:type="dxa"/>
              <w:right w:w="90" w:type="dxa"/>
            </w:tcMar>
            <w:vAlign w:val="center"/>
          </w:tcPr>
          <w:p w14:paraId="02ECD091" w14:textId="77777777" w:rsidR="00C06D07" w:rsidRPr="008F0A3A" w:rsidRDefault="00C06D07" w:rsidP="000C79E5">
            <w:pPr>
              <w:spacing w:before="40" w:after="40"/>
              <w:rPr>
                <w:sz w:val="19"/>
                <w:lang w:val="en-US"/>
              </w:rPr>
            </w:pPr>
            <w:r>
              <w:rPr>
                <w:sz w:val="19"/>
                <w:lang w:val="en-US"/>
              </w:rPr>
              <w:t>Partners adaptation</w:t>
            </w:r>
          </w:p>
        </w:tc>
        <w:tc>
          <w:tcPr>
            <w:tcW w:w="7112" w:type="dxa"/>
            <w:tcMar>
              <w:top w:w="80" w:type="dxa"/>
              <w:left w:w="90" w:type="dxa"/>
              <w:bottom w:w="80" w:type="dxa"/>
              <w:right w:w="90" w:type="dxa"/>
            </w:tcMar>
            <w:vAlign w:val="center"/>
          </w:tcPr>
          <w:p w14:paraId="5209FEFA" w14:textId="77777777" w:rsidR="000205A2" w:rsidRDefault="00000000">
            <w:pPr>
              <w:spacing w:after="40" w:line="264" w:lineRule="auto"/>
            </w:pPr>
            <w:r>
              <w:t>BrightRoute can be positioned as an enabling platform that helps partner brands grow faster while keeping operating complexity manageable.</w:t>
            </w:r>
          </w:p>
        </w:tc>
      </w:tr>
      <w:tr w:rsidR="00C06D07" w14:paraId="28561209" w14:textId="77777777" w:rsidTr="000C79E5">
        <w:tc>
          <w:tcPr>
            <w:tcW w:w="1950" w:type="dxa"/>
            <w:tcMar>
              <w:top w:w="80" w:type="dxa"/>
              <w:left w:w="90" w:type="dxa"/>
              <w:bottom w:w="80" w:type="dxa"/>
              <w:right w:w="90" w:type="dxa"/>
            </w:tcMar>
            <w:vAlign w:val="center"/>
          </w:tcPr>
          <w:p w14:paraId="3F6F884C" w14:textId="77777777" w:rsidR="00C06D07" w:rsidRDefault="00C06D07" w:rsidP="000C79E5">
            <w:pPr>
              <w:spacing w:before="40" w:after="40"/>
              <w:rPr>
                <w:sz w:val="19"/>
              </w:rPr>
            </w:pPr>
            <w:r>
              <w:rPr>
                <w:sz w:val="19"/>
              </w:rPr>
              <w:t>Hard questions</w:t>
            </w:r>
          </w:p>
        </w:tc>
        <w:tc>
          <w:tcPr>
            <w:tcW w:w="7112" w:type="dxa"/>
            <w:tcMar>
              <w:top w:w="80" w:type="dxa"/>
              <w:left w:w="90" w:type="dxa"/>
              <w:bottom w:w="80" w:type="dxa"/>
              <w:right w:w="90" w:type="dxa"/>
            </w:tcMar>
            <w:vAlign w:val="center"/>
          </w:tcPr>
          <w:p w14:paraId="34CC94E4" w14:textId="77777777" w:rsidR="000205A2" w:rsidRPr="00EF2C50" w:rsidRDefault="00000000" w:rsidP="00EF2C50">
            <w:pPr>
              <w:pStyle w:val="ListParagraph"/>
              <w:numPr>
                <w:ilvl w:val="0"/>
                <w:numId w:val="67"/>
              </w:numPr>
              <w:spacing w:after="40" w:line="264" w:lineRule="auto"/>
            </w:pPr>
            <w:r w:rsidRPr="00EF2C50">
              <w:t>Is BrightRoute only helping a small number of already successful brands? - No. The model is designed specifically to reduce barriers for smaller merchants that lack large in-house logistics teams.</w:t>
            </w:r>
          </w:p>
          <w:p w14:paraId="2778BB08" w14:textId="77777777" w:rsidR="000205A2" w:rsidRPr="00EF2C50" w:rsidRDefault="00000000" w:rsidP="00EF2C50">
            <w:pPr>
              <w:pStyle w:val="ListParagraph"/>
              <w:numPr>
                <w:ilvl w:val="0"/>
                <w:numId w:val="67"/>
              </w:numPr>
              <w:spacing w:after="40" w:line="264" w:lineRule="auto"/>
            </w:pPr>
            <w:r w:rsidRPr="00EF2C50">
              <w:t>Does this pillar overclaim economic impact? - Keep claims focused on access, speed, and reduced friction rather than broad macroeconomic promises.</w:t>
            </w:r>
          </w:p>
          <w:p w14:paraId="5DABF154" w14:textId="77777777" w:rsidR="000205A2" w:rsidRPr="00EF2C50" w:rsidRDefault="00000000" w:rsidP="00EF2C50">
            <w:pPr>
              <w:pStyle w:val="ListParagraph"/>
              <w:numPr>
                <w:ilvl w:val="0"/>
                <w:numId w:val="67"/>
              </w:numPr>
              <w:spacing w:after="40" w:line="264" w:lineRule="auto"/>
            </w:pPr>
            <w:r w:rsidRPr="00EF2C50">
              <w:t>Are merchants becoming too dependent on one provider? - Position BrightRoute as a practical growth partner whose value comes from simplifying complexity, not locking merchants in.</w:t>
            </w:r>
          </w:p>
        </w:tc>
      </w:tr>
    </w:tbl>
    <w:p w14:paraId="1C43B116" w14:textId="77777777" w:rsidR="00EF2C50" w:rsidRDefault="00EF2C50" w:rsidP="00EF2C50"/>
    <w:p w14:paraId="08FEBA0A" w14:textId="61EB55B3" w:rsidR="00C06D07" w:rsidRDefault="00C06D07" w:rsidP="00C06D07">
      <w:pPr>
        <w:pStyle w:val="Heading1"/>
      </w:pPr>
      <w:r>
        <w:lastRenderedPageBreak/>
        <w:t>Pillar 2: Reliable operations and customer experience</w:t>
      </w:r>
    </w:p>
    <w:tbl>
      <w:tblPr>
        <w:tblStyle w:val="TableGrid"/>
        <w:tblW w:w="0" w:type="auto"/>
        <w:tblLook w:val="04A0" w:firstRow="1" w:lastRow="0" w:firstColumn="1" w:lastColumn="0" w:noHBand="0" w:noVBand="1"/>
      </w:tblPr>
      <w:tblGrid>
        <w:gridCol w:w="1950"/>
        <w:gridCol w:w="7112"/>
      </w:tblGrid>
      <w:tr w:rsidR="00C06D07" w14:paraId="2DBFF4D6" w14:textId="77777777" w:rsidTr="000C79E5">
        <w:tc>
          <w:tcPr>
            <w:tcW w:w="1950" w:type="dxa"/>
            <w:shd w:val="clear" w:color="auto" w:fill="000000"/>
            <w:tcMar>
              <w:top w:w="80" w:type="dxa"/>
              <w:left w:w="90" w:type="dxa"/>
              <w:bottom w:w="80" w:type="dxa"/>
              <w:right w:w="90" w:type="dxa"/>
            </w:tcMar>
            <w:vAlign w:val="center"/>
          </w:tcPr>
          <w:p w14:paraId="2F33D226" w14:textId="77777777" w:rsidR="00C06D07" w:rsidRDefault="00C06D07" w:rsidP="000C79E5">
            <w:pPr>
              <w:spacing w:before="40" w:after="40"/>
            </w:pPr>
            <w:r>
              <w:rPr>
                <w:b/>
                <w:color w:val="FFFFFF"/>
              </w:rPr>
              <w:t>Element</w:t>
            </w:r>
          </w:p>
        </w:tc>
        <w:tc>
          <w:tcPr>
            <w:tcW w:w="7112" w:type="dxa"/>
            <w:shd w:val="clear" w:color="auto" w:fill="000000"/>
            <w:tcMar>
              <w:top w:w="80" w:type="dxa"/>
              <w:left w:w="90" w:type="dxa"/>
              <w:bottom w:w="80" w:type="dxa"/>
              <w:right w:w="90" w:type="dxa"/>
            </w:tcMar>
            <w:vAlign w:val="center"/>
          </w:tcPr>
          <w:p w14:paraId="7211BE57" w14:textId="77777777" w:rsidR="00C06D07" w:rsidRDefault="00C06D07" w:rsidP="000C79E5">
            <w:pPr>
              <w:spacing w:before="40" w:after="40"/>
            </w:pPr>
            <w:r>
              <w:rPr>
                <w:b/>
                <w:color w:val="FFFFFF"/>
              </w:rPr>
              <w:t xml:space="preserve">Sample content for </w:t>
            </w:r>
            <w:proofErr w:type="spellStart"/>
            <w:r>
              <w:rPr>
                <w:b/>
                <w:color w:val="FFFFFF"/>
              </w:rPr>
              <w:t>BrightRoute</w:t>
            </w:r>
            <w:proofErr w:type="spellEnd"/>
            <w:r>
              <w:rPr>
                <w:b/>
                <w:color w:val="FFFFFF"/>
              </w:rPr>
              <w:t xml:space="preserve"> Commerce</w:t>
            </w:r>
          </w:p>
        </w:tc>
      </w:tr>
      <w:tr w:rsidR="00C06D07" w14:paraId="4DD9E38A" w14:textId="77777777" w:rsidTr="000C79E5">
        <w:tc>
          <w:tcPr>
            <w:tcW w:w="1950" w:type="dxa"/>
            <w:tcMar>
              <w:top w:w="80" w:type="dxa"/>
              <w:left w:w="90" w:type="dxa"/>
              <w:bottom w:w="80" w:type="dxa"/>
              <w:right w:w="90" w:type="dxa"/>
            </w:tcMar>
            <w:vAlign w:val="center"/>
          </w:tcPr>
          <w:p w14:paraId="38207881" w14:textId="77777777" w:rsidR="00C06D07" w:rsidRDefault="00C06D07" w:rsidP="000C79E5">
            <w:pPr>
              <w:spacing w:before="40" w:after="40"/>
            </w:pPr>
            <w:r>
              <w:rPr>
                <w:sz w:val="19"/>
              </w:rPr>
              <w:t>Message in a sentence</w:t>
            </w:r>
          </w:p>
        </w:tc>
        <w:tc>
          <w:tcPr>
            <w:tcW w:w="7112" w:type="dxa"/>
            <w:tcMar>
              <w:top w:w="80" w:type="dxa"/>
              <w:left w:w="90" w:type="dxa"/>
              <w:bottom w:w="80" w:type="dxa"/>
              <w:right w:w="90" w:type="dxa"/>
            </w:tcMar>
            <w:vAlign w:val="center"/>
          </w:tcPr>
          <w:p w14:paraId="50BBC0A2" w14:textId="77777777" w:rsidR="000205A2" w:rsidRDefault="00000000">
            <w:pPr>
              <w:spacing w:after="40" w:line="264" w:lineRule="auto"/>
            </w:pPr>
            <w:r>
              <w:t>BrightRoute delivers a better customer experience by making fulfilment, inventory flow, and delivery performance more consistent and dependable.</w:t>
            </w:r>
          </w:p>
        </w:tc>
      </w:tr>
      <w:tr w:rsidR="00C06D07" w14:paraId="0E2FCEC4" w14:textId="77777777" w:rsidTr="000C79E5">
        <w:tc>
          <w:tcPr>
            <w:tcW w:w="1950" w:type="dxa"/>
            <w:tcMar>
              <w:top w:w="80" w:type="dxa"/>
              <w:left w:w="90" w:type="dxa"/>
              <w:bottom w:w="80" w:type="dxa"/>
              <w:right w:w="90" w:type="dxa"/>
            </w:tcMar>
            <w:vAlign w:val="center"/>
          </w:tcPr>
          <w:p w14:paraId="3AFAF30F" w14:textId="77777777" w:rsidR="000205A2" w:rsidRDefault="00000000">
            <w:r>
              <w:t>Message in a paragraph</w:t>
            </w:r>
          </w:p>
        </w:tc>
        <w:tc>
          <w:tcPr>
            <w:tcW w:w="7112" w:type="dxa"/>
            <w:tcMar>
              <w:top w:w="80" w:type="dxa"/>
              <w:left w:w="90" w:type="dxa"/>
              <w:bottom w:w="80" w:type="dxa"/>
              <w:right w:w="90" w:type="dxa"/>
            </w:tcMar>
            <w:vAlign w:val="center"/>
          </w:tcPr>
          <w:p w14:paraId="484B5CB1" w14:textId="77777777" w:rsidR="000205A2" w:rsidRDefault="00000000">
            <w:pPr>
              <w:spacing w:after="40" w:line="264" w:lineRule="auto"/>
            </w:pPr>
            <w:r>
              <w:t>The second pillar proves that BrightRoute is not only a growth story for merchants but also an operational story for customers. Reliable operations matter because customer trust is won or lost in execution: accurate stock visibility, predictable delivery, and responsive service. BrightRoute should therefore describe its operations in practical rather than overly technical terms, showing how dependable systems produce better everyday outcomes for both merchants and shoppers.</w:t>
            </w:r>
          </w:p>
        </w:tc>
      </w:tr>
      <w:tr w:rsidR="00C06D07" w14:paraId="59B34F66" w14:textId="77777777" w:rsidTr="000C79E5">
        <w:tc>
          <w:tcPr>
            <w:tcW w:w="1950" w:type="dxa"/>
            <w:tcMar>
              <w:top w:w="80" w:type="dxa"/>
              <w:left w:w="90" w:type="dxa"/>
              <w:bottom w:w="80" w:type="dxa"/>
              <w:right w:w="90" w:type="dxa"/>
            </w:tcMar>
            <w:vAlign w:val="center"/>
          </w:tcPr>
          <w:p w14:paraId="5B1BEE39" w14:textId="77777777" w:rsidR="00C06D07" w:rsidRDefault="00C06D07" w:rsidP="000C79E5">
            <w:pPr>
              <w:spacing w:before="40" w:after="40"/>
            </w:pPr>
            <w:r>
              <w:rPr>
                <w:sz w:val="19"/>
              </w:rPr>
              <w:t>Message in a half-page</w:t>
            </w:r>
          </w:p>
        </w:tc>
        <w:tc>
          <w:tcPr>
            <w:tcW w:w="7112" w:type="dxa"/>
            <w:tcMar>
              <w:top w:w="80" w:type="dxa"/>
              <w:left w:w="90" w:type="dxa"/>
              <w:bottom w:w="80" w:type="dxa"/>
              <w:right w:w="90" w:type="dxa"/>
            </w:tcMar>
            <w:vAlign w:val="center"/>
          </w:tcPr>
          <w:p w14:paraId="598EE350" w14:textId="77777777" w:rsidR="000205A2" w:rsidRDefault="00000000">
            <w:pPr>
              <w:spacing w:after="40" w:line="264" w:lineRule="auto"/>
            </w:pPr>
            <w:r>
              <w:t>Commerce brands do not benefit from growth if the customer experience becomes unreliable. Missed delivery promises, poor inventory visibility, and fragmented fulfilment all weaken trust quickly. BrightRoute addresses that risk by focusing on operational dependability: a merchant should know where stock sits, a customer should have realistic delivery expectations, and partners should be able to work with systems that are practical rather than overly complex. In messaging terms, this pillar should stay grounded in execution. It is not about claiming perfection; it is about showing that BrightRoute reduces avoidable friction and helps create a more predictable customer experience at scale.</w:t>
            </w:r>
          </w:p>
        </w:tc>
      </w:tr>
      <w:tr w:rsidR="00C06D07" w14:paraId="578FF210" w14:textId="77777777" w:rsidTr="000C79E5">
        <w:tc>
          <w:tcPr>
            <w:tcW w:w="1950" w:type="dxa"/>
            <w:tcMar>
              <w:top w:w="80" w:type="dxa"/>
              <w:left w:w="90" w:type="dxa"/>
              <w:bottom w:w="80" w:type="dxa"/>
              <w:right w:w="90" w:type="dxa"/>
            </w:tcMar>
            <w:vAlign w:val="center"/>
          </w:tcPr>
          <w:p w14:paraId="4EF9E601" w14:textId="77777777" w:rsidR="00C06D07" w:rsidRDefault="00C06D07" w:rsidP="000C79E5">
            <w:pPr>
              <w:spacing w:before="40" w:after="40"/>
              <w:rPr>
                <w:sz w:val="19"/>
              </w:rPr>
            </w:pPr>
            <w:r>
              <w:rPr>
                <w:sz w:val="19"/>
              </w:rPr>
              <w:t>Killer facts/proof points</w:t>
            </w:r>
          </w:p>
        </w:tc>
        <w:tc>
          <w:tcPr>
            <w:tcW w:w="7112" w:type="dxa"/>
            <w:tcMar>
              <w:top w:w="80" w:type="dxa"/>
              <w:left w:w="90" w:type="dxa"/>
              <w:bottom w:w="80" w:type="dxa"/>
              <w:right w:w="90" w:type="dxa"/>
            </w:tcMar>
            <w:vAlign w:val="center"/>
          </w:tcPr>
          <w:p w14:paraId="63F9880E" w14:textId="77777777" w:rsidR="000205A2" w:rsidRDefault="00000000">
            <w:pPr>
              <w:spacing w:after="40" w:line="264" w:lineRule="auto"/>
            </w:pPr>
            <w:r>
              <w:t>98.4% fictional on-time dispatch rate across the BrightRoute fulfilment network.</w:t>
            </w:r>
          </w:p>
          <w:p w14:paraId="76E57D2A" w14:textId="77777777" w:rsidR="000205A2" w:rsidRDefault="00000000">
            <w:pPr>
              <w:spacing w:after="40" w:line="264" w:lineRule="auto"/>
            </w:pPr>
            <w:r>
              <w:t>Average order tracking accuracy exceeds 99% in core markets.</w:t>
            </w:r>
          </w:p>
          <w:p w14:paraId="5CFFACAB" w14:textId="77777777" w:rsidR="000205A2" w:rsidRDefault="00000000">
            <w:pPr>
              <w:spacing w:after="40" w:line="264" w:lineRule="auto"/>
            </w:pPr>
            <w:r>
              <w:t>Customer service contacts linked to fulfilment errors fell 18% year-on-year after BrightRoute introduced its unified operations dashboard.</w:t>
            </w:r>
          </w:p>
        </w:tc>
      </w:tr>
      <w:tr w:rsidR="00C06D07" w14:paraId="1A66EEDD" w14:textId="77777777" w:rsidTr="000C79E5">
        <w:tc>
          <w:tcPr>
            <w:tcW w:w="1950" w:type="dxa"/>
            <w:tcMar>
              <w:top w:w="80" w:type="dxa"/>
              <w:left w:w="90" w:type="dxa"/>
              <w:bottom w:w="80" w:type="dxa"/>
              <w:right w:w="90" w:type="dxa"/>
            </w:tcMar>
            <w:vAlign w:val="center"/>
          </w:tcPr>
          <w:p w14:paraId="484636C4" w14:textId="77777777" w:rsidR="00C06D07" w:rsidRDefault="00C06D07" w:rsidP="000C79E5">
            <w:pPr>
              <w:spacing w:before="40" w:after="40"/>
            </w:pPr>
            <w:r>
              <w:rPr>
                <w:sz w:val="19"/>
              </w:rPr>
              <w:t>Media adaption</w:t>
            </w:r>
          </w:p>
        </w:tc>
        <w:tc>
          <w:tcPr>
            <w:tcW w:w="7112" w:type="dxa"/>
            <w:tcMar>
              <w:top w:w="80" w:type="dxa"/>
              <w:left w:w="90" w:type="dxa"/>
              <w:bottom w:w="80" w:type="dxa"/>
              <w:right w:w="90" w:type="dxa"/>
            </w:tcMar>
            <w:vAlign w:val="center"/>
          </w:tcPr>
          <w:p w14:paraId="48AFC6B5" w14:textId="77777777" w:rsidR="000205A2" w:rsidRDefault="00000000">
            <w:pPr>
              <w:spacing w:after="40" w:line="264" w:lineRule="auto"/>
            </w:pPr>
            <w:r>
              <w:t>BrightRoute is built around dependable execution - the kind of operational consistency that customers notice when orders arrive as expected.</w:t>
            </w:r>
          </w:p>
        </w:tc>
      </w:tr>
      <w:tr w:rsidR="00C06D07" w14:paraId="0150E53E" w14:textId="77777777" w:rsidTr="000C79E5">
        <w:tc>
          <w:tcPr>
            <w:tcW w:w="1950" w:type="dxa"/>
            <w:tcMar>
              <w:top w:w="80" w:type="dxa"/>
              <w:left w:w="90" w:type="dxa"/>
              <w:bottom w:w="80" w:type="dxa"/>
              <w:right w:w="90" w:type="dxa"/>
            </w:tcMar>
            <w:vAlign w:val="center"/>
          </w:tcPr>
          <w:p w14:paraId="79E65758" w14:textId="77777777" w:rsidR="00C06D07" w:rsidRDefault="00C06D07" w:rsidP="000C79E5">
            <w:pPr>
              <w:spacing w:before="40" w:after="40"/>
              <w:rPr>
                <w:sz w:val="19"/>
              </w:rPr>
            </w:pPr>
            <w:proofErr w:type="gramStart"/>
            <w:r>
              <w:rPr>
                <w:sz w:val="19"/>
              </w:rPr>
              <w:t>Policymakers</w:t>
            </w:r>
            <w:proofErr w:type="gramEnd"/>
            <w:r>
              <w:rPr>
                <w:sz w:val="19"/>
              </w:rPr>
              <w:t xml:space="preserve"> adaptation</w:t>
            </w:r>
          </w:p>
        </w:tc>
        <w:tc>
          <w:tcPr>
            <w:tcW w:w="7112" w:type="dxa"/>
            <w:tcMar>
              <w:top w:w="80" w:type="dxa"/>
              <w:left w:w="90" w:type="dxa"/>
              <w:bottom w:w="80" w:type="dxa"/>
              <w:right w:w="90" w:type="dxa"/>
            </w:tcMar>
            <w:vAlign w:val="center"/>
          </w:tcPr>
          <w:p w14:paraId="14B1BA9D" w14:textId="77777777" w:rsidR="000205A2" w:rsidRDefault="00000000">
            <w:pPr>
              <w:spacing w:after="40" w:line="264" w:lineRule="auto"/>
            </w:pPr>
            <w:r>
              <w:t>More efficient cross-border fulfilment can support a better consumer experience while reducing avoidable operational friction in the Single Market.</w:t>
            </w:r>
          </w:p>
        </w:tc>
      </w:tr>
      <w:tr w:rsidR="00C06D07" w14:paraId="70E00092" w14:textId="77777777" w:rsidTr="000C79E5">
        <w:tc>
          <w:tcPr>
            <w:tcW w:w="1950" w:type="dxa"/>
            <w:tcMar>
              <w:top w:w="80" w:type="dxa"/>
              <w:left w:w="90" w:type="dxa"/>
              <w:bottom w:w="80" w:type="dxa"/>
              <w:right w:w="90" w:type="dxa"/>
            </w:tcMar>
            <w:vAlign w:val="center"/>
          </w:tcPr>
          <w:p w14:paraId="17772496" w14:textId="77777777" w:rsidR="00C06D07" w:rsidRPr="008F0A3A" w:rsidRDefault="00C06D07" w:rsidP="000C79E5">
            <w:pPr>
              <w:spacing w:before="40" w:after="40"/>
              <w:rPr>
                <w:sz w:val="19"/>
                <w:lang w:val="en-US"/>
              </w:rPr>
            </w:pPr>
            <w:r>
              <w:rPr>
                <w:sz w:val="19"/>
                <w:lang w:val="en-US"/>
              </w:rPr>
              <w:t>Partners adaptation</w:t>
            </w:r>
          </w:p>
        </w:tc>
        <w:tc>
          <w:tcPr>
            <w:tcW w:w="7112" w:type="dxa"/>
            <w:tcMar>
              <w:top w:w="80" w:type="dxa"/>
              <w:left w:w="90" w:type="dxa"/>
              <w:bottom w:w="80" w:type="dxa"/>
              <w:right w:w="90" w:type="dxa"/>
            </w:tcMar>
            <w:vAlign w:val="center"/>
          </w:tcPr>
          <w:p w14:paraId="50C356A6" w14:textId="77777777" w:rsidR="000205A2" w:rsidRDefault="00000000">
            <w:pPr>
              <w:spacing w:after="40" w:line="264" w:lineRule="auto"/>
            </w:pPr>
            <w:r>
              <w:t>For partners, BrightRoute offers infrastructure and data visibility that can make fulfilment performance more predictable across multiple markets.</w:t>
            </w:r>
          </w:p>
        </w:tc>
      </w:tr>
      <w:tr w:rsidR="00C06D07" w14:paraId="3CA2FE1F" w14:textId="77777777" w:rsidTr="000C79E5">
        <w:tc>
          <w:tcPr>
            <w:tcW w:w="1950" w:type="dxa"/>
            <w:tcMar>
              <w:top w:w="80" w:type="dxa"/>
              <w:left w:w="90" w:type="dxa"/>
              <w:bottom w:w="80" w:type="dxa"/>
              <w:right w:w="90" w:type="dxa"/>
            </w:tcMar>
            <w:vAlign w:val="center"/>
          </w:tcPr>
          <w:p w14:paraId="5C82D69A" w14:textId="77777777" w:rsidR="00C06D07" w:rsidRDefault="00C06D07" w:rsidP="000C79E5">
            <w:pPr>
              <w:spacing w:before="40" w:after="40"/>
              <w:rPr>
                <w:sz w:val="19"/>
              </w:rPr>
            </w:pPr>
            <w:r>
              <w:rPr>
                <w:sz w:val="19"/>
              </w:rPr>
              <w:t>Hard questions</w:t>
            </w:r>
          </w:p>
        </w:tc>
        <w:tc>
          <w:tcPr>
            <w:tcW w:w="7112" w:type="dxa"/>
            <w:tcMar>
              <w:top w:w="80" w:type="dxa"/>
              <w:left w:w="90" w:type="dxa"/>
              <w:bottom w:w="80" w:type="dxa"/>
              <w:right w:w="90" w:type="dxa"/>
            </w:tcMar>
            <w:vAlign w:val="center"/>
          </w:tcPr>
          <w:p w14:paraId="226FABA3" w14:textId="77777777" w:rsidR="000205A2" w:rsidRPr="00EF2C50" w:rsidRDefault="00000000" w:rsidP="00EF2C50">
            <w:pPr>
              <w:pStyle w:val="ListParagraph"/>
              <w:numPr>
                <w:ilvl w:val="0"/>
                <w:numId w:val="69"/>
              </w:numPr>
              <w:spacing w:after="40" w:line="264" w:lineRule="auto"/>
            </w:pPr>
            <w:r w:rsidRPr="00EF2C50">
              <w:t>Can any logistics network really promise reliability at this scale? - Avoid promising perfection; focus instead on strong systems, transparency, and continuous operational improvement.</w:t>
            </w:r>
          </w:p>
          <w:p w14:paraId="31184FF4" w14:textId="77777777" w:rsidR="000205A2" w:rsidRPr="00EF2C50" w:rsidRDefault="00000000" w:rsidP="00EF2C50">
            <w:pPr>
              <w:pStyle w:val="ListParagraph"/>
              <w:numPr>
                <w:ilvl w:val="0"/>
                <w:numId w:val="69"/>
              </w:numPr>
              <w:spacing w:after="40" w:line="264" w:lineRule="auto"/>
            </w:pPr>
            <w:r w:rsidRPr="00EF2C50">
              <w:t>Is this just a technology claim dressed up as customer benefit? - No. The point is that practical systems improve real outcomes such as delivery predictability and issue resolution.</w:t>
            </w:r>
          </w:p>
          <w:p w14:paraId="0CBFFEEA" w14:textId="77777777" w:rsidR="000205A2" w:rsidRPr="00EF2C50" w:rsidRDefault="00000000" w:rsidP="00EF2C50">
            <w:pPr>
              <w:pStyle w:val="ListParagraph"/>
              <w:numPr>
                <w:ilvl w:val="0"/>
                <w:numId w:val="69"/>
              </w:numPr>
              <w:spacing w:after="40" w:line="264" w:lineRule="auto"/>
            </w:pPr>
            <w:r w:rsidRPr="00EF2C50">
              <w:t>What happens when service fails? - Acknowledge that failures happen and explain how operational visibility and response processes help contain them quickly.</w:t>
            </w:r>
          </w:p>
        </w:tc>
      </w:tr>
    </w:tbl>
    <w:p w14:paraId="53FBBE0E" w14:textId="77777777" w:rsidR="00917BB1" w:rsidRDefault="00917BB1" w:rsidP="00917BB1"/>
    <w:p w14:paraId="7BB71445" w14:textId="77777777" w:rsidR="00C06D07" w:rsidRDefault="00C06D07" w:rsidP="00C06D07">
      <w:pPr>
        <w:pStyle w:val="Heading1"/>
      </w:pPr>
      <w:r>
        <w:lastRenderedPageBreak/>
        <w:t>Pillar 3: Responsible growth and trust</w:t>
      </w:r>
    </w:p>
    <w:tbl>
      <w:tblPr>
        <w:tblStyle w:val="TableGrid"/>
        <w:tblW w:w="0" w:type="auto"/>
        <w:tblLook w:val="04A0" w:firstRow="1" w:lastRow="0" w:firstColumn="1" w:lastColumn="0" w:noHBand="0" w:noVBand="1"/>
      </w:tblPr>
      <w:tblGrid>
        <w:gridCol w:w="1950"/>
        <w:gridCol w:w="7112"/>
      </w:tblGrid>
      <w:tr w:rsidR="00C06D07" w14:paraId="2E617A1C" w14:textId="77777777" w:rsidTr="000C79E5">
        <w:tc>
          <w:tcPr>
            <w:tcW w:w="1950" w:type="dxa"/>
            <w:shd w:val="clear" w:color="auto" w:fill="000000"/>
            <w:tcMar>
              <w:top w:w="80" w:type="dxa"/>
              <w:left w:w="90" w:type="dxa"/>
              <w:bottom w:w="80" w:type="dxa"/>
              <w:right w:w="90" w:type="dxa"/>
            </w:tcMar>
            <w:vAlign w:val="center"/>
          </w:tcPr>
          <w:p w14:paraId="39919E91" w14:textId="77777777" w:rsidR="00C06D07" w:rsidRDefault="00C06D07" w:rsidP="000C79E5">
            <w:pPr>
              <w:spacing w:before="40" w:after="40"/>
            </w:pPr>
            <w:r>
              <w:rPr>
                <w:b/>
                <w:color w:val="FFFFFF"/>
              </w:rPr>
              <w:t>Element</w:t>
            </w:r>
          </w:p>
        </w:tc>
        <w:tc>
          <w:tcPr>
            <w:tcW w:w="7112" w:type="dxa"/>
            <w:shd w:val="clear" w:color="auto" w:fill="000000"/>
            <w:tcMar>
              <w:top w:w="80" w:type="dxa"/>
              <w:left w:w="90" w:type="dxa"/>
              <w:bottom w:w="80" w:type="dxa"/>
              <w:right w:w="90" w:type="dxa"/>
            </w:tcMar>
            <w:vAlign w:val="center"/>
          </w:tcPr>
          <w:p w14:paraId="227CF220" w14:textId="77777777" w:rsidR="00C06D07" w:rsidRDefault="00C06D07" w:rsidP="000C79E5">
            <w:pPr>
              <w:spacing w:before="40" w:after="40"/>
            </w:pPr>
            <w:r>
              <w:rPr>
                <w:b/>
                <w:color w:val="FFFFFF"/>
              </w:rPr>
              <w:t xml:space="preserve">Sample content for </w:t>
            </w:r>
            <w:proofErr w:type="spellStart"/>
            <w:r>
              <w:rPr>
                <w:b/>
                <w:color w:val="FFFFFF"/>
              </w:rPr>
              <w:t>BrightRoute</w:t>
            </w:r>
            <w:proofErr w:type="spellEnd"/>
            <w:r>
              <w:rPr>
                <w:b/>
                <w:color w:val="FFFFFF"/>
              </w:rPr>
              <w:t xml:space="preserve"> Commerce</w:t>
            </w:r>
          </w:p>
        </w:tc>
      </w:tr>
      <w:tr w:rsidR="00C06D07" w14:paraId="1D49B723" w14:textId="77777777" w:rsidTr="000C79E5">
        <w:tc>
          <w:tcPr>
            <w:tcW w:w="1950" w:type="dxa"/>
            <w:tcMar>
              <w:top w:w="80" w:type="dxa"/>
              <w:left w:w="90" w:type="dxa"/>
              <w:bottom w:w="80" w:type="dxa"/>
              <w:right w:w="90" w:type="dxa"/>
            </w:tcMar>
            <w:vAlign w:val="center"/>
          </w:tcPr>
          <w:p w14:paraId="6C965EC2" w14:textId="77777777" w:rsidR="00C06D07" w:rsidRDefault="00C06D07" w:rsidP="000C79E5">
            <w:pPr>
              <w:spacing w:before="40" w:after="40"/>
            </w:pPr>
            <w:r>
              <w:rPr>
                <w:sz w:val="19"/>
              </w:rPr>
              <w:t>Message in a sentence</w:t>
            </w:r>
          </w:p>
        </w:tc>
        <w:tc>
          <w:tcPr>
            <w:tcW w:w="7112" w:type="dxa"/>
            <w:tcMar>
              <w:top w:w="80" w:type="dxa"/>
              <w:left w:w="90" w:type="dxa"/>
              <w:bottom w:w="80" w:type="dxa"/>
              <w:right w:w="90" w:type="dxa"/>
            </w:tcMar>
            <w:vAlign w:val="center"/>
          </w:tcPr>
          <w:p w14:paraId="5FBE2978" w14:textId="77777777" w:rsidR="000205A2" w:rsidRDefault="00000000">
            <w:pPr>
              <w:spacing w:after="40" w:line="264" w:lineRule="auto"/>
            </w:pPr>
            <w:r>
              <w:t>BrightRoute wants to grow in a way that communities, partners, and regulators can trust over the long term.</w:t>
            </w:r>
          </w:p>
        </w:tc>
      </w:tr>
      <w:tr w:rsidR="00C06D07" w14:paraId="4EA3CED9" w14:textId="77777777" w:rsidTr="000C79E5">
        <w:tc>
          <w:tcPr>
            <w:tcW w:w="1950" w:type="dxa"/>
            <w:tcMar>
              <w:top w:w="80" w:type="dxa"/>
              <w:left w:w="90" w:type="dxa"/>
              <w:bottom w:w="80" w:type="dxa"/>
              <w:right w:w="90" w:type="dxa"/>
            </w:tcMar>
            <w:vAlign w:val="center"/>
          </w:tcPr>
          <w:p w14:paraId="30038BB0" w14:textId="77777777" w:rsidR="000205A2" w:rsidRDefault="00000000">
            <w:r>
              <w:t>Message in a paragraph</w:t>
            </w:r>
          </w:p>
        </w:tc>
        <w:tc>
          <w:tcPr>
            <w:tcW w:w="7112" w:type="dxa"/>
            <w:tcMar>
              <w:top w:w="80" w:type="dxa"/>
              <w:left w:w="90" w:type="dxa"/>
              <w:bottom w:w="80" w:type="dxa"/>
              <w:right w:w="90" w:type="dxa"/>
            </w:tcMar>
            <w:vAlign w:val="center"/>
          </w:tcPr>
          <w:p w14:paraId="1312ADD7" w14:textId="77777777" w:rsidR="000205A2" w:rsidRDefault="00000000">
            <w:pPr>
              <w:spacing w:after="40" w:line="264" w:lineRule="auto"/>
            </w:pPr>
            <w:r>
              <w:t>Responsible growth is the trust pillar of the BrightRoute story. It explains how the company approaches workforce standards, environmental impact, product integrity, and local relationships. This pillar should not sound defensive or abstract. It should show that long-term growth depends on being credible with the people and institutions that make commerce possible.</w:t>
            </w:r>
          </w:p>
        </w:tc>
      </w:tr>
      <w:tr w:rsidR="00C06D07" w14:paraId="179A664B" w14:textId="77777777" w:rsidTr="000C79E5">
        <w:tc>
          <w:tcPr>
            <w:tcW w:w="1950" w:type="dxa"/>
            <w:tcMar>
              <w:top w:w="80" w:type="dxa"/>
              <w:left w:w="90" w:type="dxa"/>
              <w:bottom w:w="80" w:type="dxa"/>
              <w:right w:w="90" w:type="dxa"/>
            </w:tcMar>
            <w:vAlign w:val="center"/>
          </w:tcPr>
          <w:p w14:paraId="7D432814" w14:textId="77777777" w:rsidR="00C06D07" w:rsidRDefault="00C06D07" w:rsidP="000C79E5">
            <w:pPr>
              <w:spacing w:before="40" w:after="40"/>
            </w:pPr>
            <w:r>
              <w:rPr>
                <w:sz w:val="19"/>
              </w:rPr>
              <w:t>Message in a half-page</w:t>
            </w:r>
          </w:p>
        </w:tc>
        <w:tc>
          <w:tcPr>
            <w:tcW w:w="7112" w:type="dxa"/>
            <w:tcMar>
              <w:top w:w="80" w:type="dxa"/>
              <w:left w:w="90" w:type="dxa"/>
              <w:bottom w:w="80" w:type="dxa"/>
              <w:right w:w="90" w:type="dxa"/>
            </w:tcMar>
            <w:vAlign w:val="center"/>
          </w:tcPr>
          <w:p w14:paraId="146591E3" w14:textId="77777777" w:rsidR="000205A2" w:rsidRDefault="00000000">
            <w:pPr>
              <w:spacing w:after="40" w:line="264" w:lineRule="auto"/>
            </w:pPr>
            <w:r>
              <w:t>A company that operates across markets cannot rely only on speed and scale; it also needs legitimacy. For BrightRoute, responsible growth means building systems and partnerships that can stand up to scrutiny over time. That includes safer and more efficient operations, a practical approach to emissions and packaging, clear standards for partners, and a willingness to engage on legitimate stakeholder concerns. This pillar should work as the balancing message in the house: BrightRoute does not just want to grow quickly; it wants to grow in a way that is durable, trusted, and easier to defend in public discussion.</w:t>
            </w:r>
          </w:p>
        </w:tc>
      </w:tr>
      <w:tr w:rsidR="00C06D07" w14:paraId="7D6B186E" w14:textId="77777777" w:rsidTr="000C79E5">
        <w:tc>
          <w:tcPr>
            <w:tcW w:w="1950" w:type="dxa"/>
            <w:tcMar>
              <w:top w:w="80" w:type="dxa"/>
              <w:left w:w="90" w:type="dxa"/>
              <w:bottom w:w="80" w:type="dxa"/>
              <w:right w:w="90" w:type="dxa"/>
            </w:tcMar>
            <w:vAlign w:val="center"/>
          </w:tcPr>
          <w:p w14:paraId="195300E6" w14:textId="77777777" w:rsidR="00C06D07" w:rsidRDefault="00C06D07" w:rsidP="000C79E5">
            <w:pPr>
              <w:spacing w:before="40" w:after="40"/>
              <w:rPr>
                <w:sz w:val="19"/>
              </w:rPr>
            </w:pPr>
            <w:r>
              <w:rPr>
                <w:sz w:val="19"/>
              </w:rPr>
              <w:t>Killer facts/proof points</w:t>
            </w:r>
          </w:p>
        </w:tc>
        <w:tc>
          <w:tcPr>
            <w:tcW w:w="7112" w:type="dxa"/>
            <w:tcMar>
              <w:top w:w="80" w:type="dxa"/>
              <w:left w:w="90" w:type="dxa"/>
              <w:bottom w:w="80" w:type="dxa"/>
              <w:right w:w="90" w:type="dxa"/>
            </w:tcMar>
            <w:vAlign w:val="center"/>
          </w:tcPr>
          <w:p w14:paraId="20562D21" w14:textId="77777777" w:rsidR="000205A2" w:rsidRDefault="00000000">
            <w:pPr>
              <w:spacing w:after="40" w:line="264" w:lineRule="auto"/>
            </w:pPr>
            <w:r>
              <w:t>BrightRoute has committed to cutting operational emissions per parcel by 35% by 2030 in this fictional example.</w:t>
            </w:r>
          </w:p>
          <w:p w14:paraId="250E1FF5" w14:textId="77777777" w:rsidR="000205A2" w:rsidRDefault="00000000">
            <w:pPr>
              <w:spacing w:after="40" w:line="264" w:lineRule="auto"/>
            </w:pPr>
            <w:r>
              <w:t>92% of core packaging materials are recyclable, reusable, or right-sized.</w:t>
            </w:r>
          </w:p>
          <w:p w14:paraId="29ECD318" w14:textId="77777777" w:rsidR="000205A2" w:rsidRDefault="00000000">
            <w:pPr>
              <w:spacing w:after="40" w:line="264" w:lineRule="auto"/>
            </w:pPr>
            <w:r>
              <w:t>All strategic delivery partners are required to meet BrightRoute's fictional supplier code covering safety, labour expectations, and reporting standards.</w:t>
            </w:r>
          </w:p>
        </w:tc>
      </w:tr>
      <w:tr w:rsidR="00C06D07" w14:paraId="08A3A03A" w14:textId="77777777" w:rsidTr="000C79E5">
        <w:tc>
          <w:tcPr>
            <w:tcW w:w="1950" w:type="dxa"/>
            <w:tcMar>
              <w:top w:w="80" w:type="dxa"/>
              <w:left w:w="90" w:type="dxa"/>
              <w:bottom w:w="80" w:type="dxa"/>
              <w:right w:w="90" w:type="dxa"/>
            </w:tcMar>
            <w:vAlign w:val="center"/>
          </w:tcPr>
          <w:p w14:paraId="10953690" w14:textId="77777777" w:rsidR="00C06D07" w:rsidRDefault="00C06D07" w:rsidP="000C79E5">
            <w:pPr>
              <w:spacing w:before="40" w:after="40"/>
            </w:pPr>
            <w:r>
              <w:rPr>
                <w:sz w:val="19"/>
              </w:rPr>
              <w:t>Media adaption</w:t>
            </w:r>
          </w:p>
        </w:tc>
        <w:tc>
          <w:tcPr>
            <w:tcW w:w="7112" w:type="dxa"/>
            <w:tcMar>
              <w:top w:w="80" w:type="dxa"/>
              <w:left w:w="90" w:type="dxa"/>
              <w:bottom w:w="80" w:type="dxa"/>
              <w:right w:w="90" w:type="dxa"/>
            </w:tcMar>
            <w:vAlign w:val="center"/>
          </w:tcPr>
          <w:p w14:paraId="475AFCDE" w14:textId="77777777" w:rsidR="000205A2" w:rsidRDefault="00000000">
            <w:pPr>
              <w:spacing w:after="40" w:line="264" w:lineRule="auto"/>
            </w:pPr>
            <w:r>
              <w:t>BrightRoute argues that long-term growth only works when businesses improve trust as well as scale.</w:t>
            </w:r>
          </w:p>
        </w:tc>
      </w:tr>
      <w:tr w:rsidR="00C06D07" w14:paraId="7BC14C42" w14:textId="77777777" w:rsidTr="000C79E5">
        <w:tc>
          <w:tcPr>
            <w:tcW w:w="1950" w:type="dxa"/>
            <w:tcMar>
              <w:top w:w="80" w:type="dxa"/>
              <w:left w:w="90" w:type="dxa"/>
              <w:bottom w:w="80" w:type="dxa"/>
              <w:right w:w="90" w:type="dxa"/>
            </w:tcMar>
            <w:vAlign w:val="center"/>
          </w:tcPr>
          <w:p w14:paraId="084680CE" w14:textId="77777777" w:rsidR="00C06D07" w:rsidRDefault="00C06D07" w:rsidP="000C79E5">
            <w:pPr>
              <w:spacing w:before="40" w:after="40"/>
              <w:rPr>
                <w:sz w:val="19"/>
              </w:rPr>
            </w:pPr>
            <w:proofErr w:type="gramStart"/>
            <w:r>
              <w:rPr>
                <w:sz w:val="19"/>
              </w:rPr>
              <w:t>Policymakers</w:t>
            </w:r>
            <w:proofErr w:type="gramEnd"/>
            <w:r>
              <w:rPr>
                <w:sz w:val="19"/>
              </w:rPr>
              <w:t xml:space="preserve"> adaptation</w:t>
            </w:r>
          </w:p>
        </w:tc>
        <w:tc>
          <w:tcPr>
            <w:tcW w:w="7112" w:type="dxa"/>
            <w:tcMar>
              <w:top w:w="80" w:type="dxa"/>
              <w:left w:w="90" w:type="dxa"/>
              <w:bottom w:w="80" w:type="dxa"/>
              <w:right w:w="90" w:type="dxa"/>
            </w:tcMar>
            <w:vAlign w:val="center"/>
          </w:tcPr>
          <w:p w14:paraId="13C80700" w14:textId="77777777" w:rsidR="000205A2" w:rsidRDefault="00000000">
            <w:pPr>
              <w:spacing w:after="40" w:line="264" w:lineRule="auto"/>
            </w:pPr>
            <w:r>
              <w:t>Responsible operators can support policy goals when growth is paired with credible standards on sustainability, safety, and accountability.</w:t>
            </w:r>
          </w:p>
        </w:tc>
      </w:tr>
      <w:tr w:rsidR="00C06D07" w14:paraId="4F2A694B" w14:textId="77777777" w:rsidTr="000C79E5">
        <w:tc>
          <w:tcPr>
            <w:tcW w:w="1950" w:type="dxa"/>
            <w:tcMar>
              <w:top w:w="80" w:type="dxa"/>
              <w:left w:w="90" w:type="dxa"/>
              <w:bottom w:w="80" w:type="dxa"/>
              <w:right w:w="90" w:type="dxa"/>
            </w:tcMar>
            <w:vAlign w:val="center"/>
          </w:tcPr>
          <w:p w14:paraId="41978832" w14:textId="77777777" w:rsidR="00C06D07" w:rsidRPr="008F0A3A" w:rsidRDefault="00C06D07" w:rsidP="000C79E5">
            <w:pPr>
              <w:spacing w:before="40" w:after="40"/>
              <w:rPr>
                <w:sz w:val="19"/>
                <w:lang w:val="en-US"/>
              </w:rPr>
            </w:pPr>
            <w:r>
              <w:rPr>
                <w:sz w:val="19"/>
                <w:lang w:val="en-US"/>
              </w:rPr>
              <w:t>Partners adaptation</w:t>
            </w:r>
          </w:p>
        </w:tc>
        <w:tc>
          <w:tcPr>
            <w:tcW w:w="7112" w:type="dxa"/>
            <w:tcMar>
              <w:top w:w="80" w:type="dxa"/>
              <w:left w:w="90" w:type="dxa"/>
              <w:bottom w:w="80" w:type="dxa"/>
              <w:right w:w="90" w:type="dxa"/>
            </w:tcMar>
            <w:vAlign w:val="center"/>
          </w:tcPr>
          <w:p w14:paraId="6D50C88B" w14:textId="77777777" w:rsidR="000205A2" w:rsidRDefault="00000000">
            <w:pPr>
              <w:spacing w:after="40" w:line="264" w:lineRule="auto"/>
            </w:pPr>
            <w:r>
              <w:t>BrightRoute should be described as a partner that wants commercial growth to be durable, defensible, and aligned with shared standards.</w:t>
            </w:r>
          </w:p>
        </w:tc>
      </w:tr>
      <w:tr w:rsidR="00C06D07" w14:paraId="507929F3" w14:textId="77777777" w:rsidTr="000C79E5">
        <w:tc>
          <w:tcPr>
            <w:tcW w:w="1950" w:type="dxa"/>
            <w:tcMar>
              <w:top w:w="80" w:type="dxa"/>
              <w:left w:w="90" w:type="dxa"/>
              <w:bottom w:w="80" w:type="dxa"/>
              <w:right w:w="90" w:type="dxa"/>
            </w:tcMar>
            <w:vAlign w:val="center"/>
          </w:tcPr>
          <w:p w14:paraId="29163232" w14:textId="77777777" w:rsidR="00C06D07" w:rsidRDefault="00C06D07" w:rsidP="000C79E5">
            <w:pPr>
              <w:spacing w:before="40" w:after="40"/>
              <w:rPr>
                <w:sz w:val="19"/>
              </w:rPr>
            </w:pPr>
            <w:r>
              <w:rPr>
                <w:sz w:val="19"/>
              </w:rPr>
              <w:t>Hard questions</w:t>
            </w:r>
          </w:p>
        </w:tc>
        <w:tc>
          <w:tcPr>
            <w:tcW w:w="7112" w:type="dxa"/>
            <w:tcMar>
              <w:top w:w="80" w:type="dxa"/>
              <w:left w:w="90" w:type="dxa"/>
              <w:bottom w:w="80" w:type="dxa"/>
              <w:right w:w="90" w:type="dxa"/>
            </w:tcMar>
            <w:vAlign w:val="center"/>
          </w:tcPr>
          <w:p w14:paraId="53907ABC" w14:textId="77777777" w:rsidR="000205A2" w:rsidRPr="00EF2C50" w:rsidRDefault="00000000" w:rsidP="00EF2C50">
            <w:pPr>
              <w:pStyle w:val="ListParagraph"/>
              <w:numPr>
                <w:ilvl w:val="0"/>
                <w:numId w:val="68"/>
              </w:numPr>
              <w:spacing w:after="40" w:line="264" w:lineRule="auto"/>
            </w:pPr>
            <w:r w:rsidRPr="00EF2C50">
              <w:t>Is responsible growth just reputation language? - Use concrete proof points and commitments; avoid broad virtue-signalling claims.</w:t>
            </w:r>
          </w:p>
          <w:p w14:paraId="68C15E94" w14:textId="77777777" w:rsidR="000205A2" w:rsidRPr="00EF2C50" w:rsidRDefault="00000000" w:rsidP="00EF2C50">
            <w:pPr>
              <w:pStyle w:val="ListParagraph"/>
              <w:numPr>
                <w:ilvl w:val="0"/>
                <w:numId w:val="68"/>
              </w:numPr>
              <w:spacing w:after="40" w:line="264" w:lineRule="auto"/>
            </w:pPr>
            <w:r w:rsidRPr="00EF2C50">
              <w:t>Can BrightRoute control all partner behaviour? - No, but it can set standards, monitor performance, and act when those standards are not met.</w:t>
            </w:r>
          </w:p>
          <w:p w14:paraId="5D563D43" w14:textId="77777777" w:rsidR="000205A2" w:rsidRPr="00EF2C50" w:rsidRDefault="00000000" w:rsidP="00EF2C50">
            <w:pPr>
              <w:pStyle w:val="ListParagraph"/>
              <w:numPr>
                <w:ilvl w:val="0"/>
                <w:numId w:val="68"/>
              </w:numPr>
              <w:spacing w:after="40" w:line="264" w:lineRule="auto"/>
            </w:pPr>
            <w:r w:rsidRPr="00EF2C50">
              <w:t>Why should stakeholders trust company-set targets? - Because targets should be paired with reporting, governance ownership, and regular review rather than presented as one-off promises.</w:t>
            </w:r>
          </w:p>
        </w:tc>
      </w:tr>
    </w:tbl>
    <w:p w14:paraId="534B3DB9" w14:textId="77777777" w:rsidR="00C06D07" w:rsidRPr="00917BB1" w:rsidRDefault="00C06D07" w:rsidP="00917BB1"/>
    <w:sectPr w:rsidR="00C06D07" w:rsidRPr="00917BB1" w:rsidSect="000E5845">
      <w:headerReference w:type="default" r:id="rId9"/>
      <w:footerReference w:type="even" r:id="rId10"/>
      <w:footerReference w:type="default" r:id="rId11"/>
      <w:pgSz w:w="11906" w:h="16838" w:code="9"/>
      <w:pgMar w:top="1948" w:right="1417" w:bottom="1418" w:left="1417" w:header="720" w:footer="365"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3998" w14:textId="77777777" w:rsidR="00206D47" w:rsidRDefault="00206D47" w:rsidP="00BE1ED7">
      <w:r>
        <w:separator/>
      </w:r>
    </w:p>
  </w:endnote>
  <w:endnote w:type="continuationSeparator" w:id="0">
    <w:p w14:paraId="6E3A767D" w14:textId="77777777" w:rsidR="00206D47" w:rsidRDefault="00206D47" w:rsidP="00BE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0313719"/>
      <w:docPartObj>
        <w:docPartGallery w:val="Page Numbers (Bottom of Page)"/>
        <w:docPartUnique/>
      </w:docPartObj>
    </w:sdtPr>
    <w:sdtContent>
      <w:p w14:paraId="44830F46" w14:textId="77777777" w:rsidR="000E5845" w:rsidRDefault="000E5845" w:rsidP="008232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EDCAA4" w14:textId="77777777" w:rsidR="000E5845" w:rsidRDefault="000E5845" w:rsidP="000E58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2865686"/>
      <w:docPartObj>
        <w:docPartGallery w:val="Page Numbers (Bottom of Page)"/>
        <w:docPartUnique/>
      </w:docPartObj>
    </w:sdtPr>
    <w:sdtContent>
      <w:p w14:paraId="0AB85F95" w14:textId="77777777" w:rsidR="000E5845" w:rsidRDefault="000E5845" w:rsidP="008232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3787D5" w14:textId="77777777" w:rsidR="008E3F29" w:rsidRDefault="008E3F29" w:rsidP="000E5845">
    <w:pPr>
      <w:pStyle w:val="Footer"/>
      <w:ind w:right="360"/>
      <w:jc w:val="right"/>
    </w:pPr>
  </w:p>
  <w:sdt>
    <w:sdtPr>
      <w:id w:val="229970870"/>
      <w:docPartObj>
        <w:docPartGallery w:val="Page Numbers (Bottom of Page)"/>
        <w:docPartUnique/>
      </w:docPartObj>
    </w:sdtPr>
    <w:sdtEndPr>
      <w:rPr>
        <w:noProof/>
      </w:rPr>
    </w:sdtEndPr>
    <w:sdtContent>
      <w:p w14:paraId="1362D2C5" w14:textId="77777777" w:rsidR="008E3F29" w:rsidRDefault="003C69AB">
        <w:pPr>
          <w:pStyle w:val="Footer"/>
          <w:jc w:val="right"/>
          <w:rPr>
            <w:noProof/>
          </w:rPr>
        </w:pPr>
        <w:r>
          <w:t xml:space="preserve"> </w:t>
        </w:r>
      </w:p>
      <w:p w14:paraId="513C819E" w14:textId="77777777" w:rsidR="00991478" w:rsidRPr="008E3F29" w:rsidRDefault="00000000" w:rsidP="008E3F29">
        <w:pPr>
          <w:jc w:val="center"/>
          <w:rPr>
            <w:lang w:val="fr-FR"/>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1E3F" w14:textId="77777777" w:rsidR="00206D47" w:rsidRDefault="00206D47" w:rsidP="00BE1ED7">
      <w:r>
        <w:separator/>
      </w:r>
    </w:p>
  </w:footnote>
  <w:footnote w:type="continuationSeparator" w:id="0">
    <w:p w14:paraId="6C56794B" w14:textId="77777777" w:rsidR="00206D47" w:rsidRDefault="00206D47" w:rsidP="00BE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FB6C" w14:textId="77777777" w:rsidR="008E3F29" w:rsidRPr="008E3F29" w:rsidRDefault="0006305E" w:rsidP="008E3F29">
    <w:r>
      <w:rPr>
        <w:noProof/>
      </w:rPr>
      <w:drawing>
        <wp:anchor distT="114300" distB="114300" distL="114300" distR="114300" simplePos="0" relativeHeight="251659264" behindDoc="0" locked="0" layoutInCell="1" hidden="0" allowOverlap="1" wp14:anchorId="0D904B6B" wp14:editId="01BECE55">
          <wp:simplePos x="0" y="0"/>
          <wp:positionH relativeFrom="column">
            <wp:posOffset>5680075</wp:posOffset>
          </wp:positionH>
          <wp:positionV relativeFrom="paragraph">
            <wp:posOffset>-120553</wp:posOffset>
          </wp:positionV>
          <wp:extent cx="640862" cy="648677"/>
          <wp:effectExtent l="0" t="0" r="0" b="0"/>
          <wp:wrapNone/>
          <wp:docPr id="359958648" name="Picture 359958648"/>
          <wp:cNvGraphicFramePr/>
          <a:graphic xmlns:a="http://schemas.openxmlformats.org/drawingml/2006/main">
            <a:graphicData uri="http://schemas.openxmlformats.org/drawingml/2006/picture">
              <pic:pic xmlns:pic="http://schemas.openxmlformats.org/drawingml/2006/picture">
                <pic:nvPicPr>
                  <pic:cNvPr id="2035492341" name="Picture 2035492341"/>
                  <pic:cNvPicPr preferRelativeResize="0"/>
                </pic:nvPicPr>
                <pic:blipFill>
                  <a:blip r:embed="rId1"/>
                  <a:srcRect/>
                  <a:stretch>
                    <a:fillRect/>
                  </a:stretch>
                </pic:blipFill>
                <pic:spPr>
                  <a:xfrm>
                    <a:off x="0" y="0"/>
                    <a:ext cx="640862" cy="648677"/>
                  </a:xfrm>
                  <a:prstGeom prst="rect">
                    <a:avLst/>
                  </a:prstGeom>
                  <a:ln/>
                </pic:spPr>
              </pic:pic>
            </a:graphicData>
          </a:graphic>
          <wp14:sizeRelH relativeFrom="margin">
            <wp14:pctWidth>0</wp14:pctWidth>
          </wp14:sizeRelH>
          <wp14:sizeRelV relativeFrom="margin">
            <wp14:pctHeight>0</wp14:pctHeight>
          </wp14:sizeRelV>
        </wp:anchor>
      </w:drawing>
    </w:r>
    <w:r w:rsidR="008F0A3A">
      <w:rPr>
        <w:b/>
        <w:bCs/>
      </w:rPr>
      <w:t>Messaging House</w:t>
    </w:r>
    <w:r w:rsidR="00A575D9" w:rsidRPr="00BE1ED7">
      <w:rPr>
        <w:b/>
        <w:bCs/>
      </w:rPr>
      <w:br/>
    </w:r>
    <w:r w:rsidR="00A575D9">
      <w:t xml:space="preserve">Status: </w:t>
    </w:r>
    <w:r w:rsidR="00145B05">
      <w:t>x</w:t>
    </w:r>
    <w:r w:rsidR="00840AFA">
      <w:t xml:space="preserve"> </w:t>
    </w:r>
    <w:r w:rsidR="00145B05">
      <w:t>Month</w:t>
    </w:r>
    <w:r w:rsidR="00840AFA">
      <w:t xml:space="preserve"> 202</w:t>
    </w:r>
    <w:r w:rsidR="00145B05">
      <w:t>x</w:t>
    </w:r>
    <w:r w:rsidR="00386850">
      <w:t>, V</w:t>
    </w:r>
    <w:r w:rsidR="00145B05">
      <w:t>01</w:t>
    </w:r>
    <w:r w:rsidR="00BC1B57">
      <w:br/>
    </w:r>
    <w:r w:rsidR="008F0A3A">
      <w:t>Owner</w:t>
    </w:r>
    <w:r w:rsidR="00BC1B57">
      <w:t xml:space="preserve">: </w:t>
    </w:r>
    <w:r w:rsidR="00145B05">
      <w:t>x</w:t>
    </w:r>
    <w:r w:rsidR="008E3F29" w:rsidRPr="008E3F29">
      <w:t xml:space="preserve"> </w:t>
    </w:r>
  </w:p>
  <w:p w14:paraId="7746141B" w14:textId="77777777" w:rsidR="00991478" w:rsidRDefault="00991478" w:rsidP="00BE1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99"/>
    <w:multiLevelType w:val="hybridMultilevel"/>
    <w:tmpl w:val="C8447E78"/>
    <w:lvl w:ilvl="0" w:tplc="2530FA2A">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09B6B86"/>
    <w:multiLevelType w:val="multilevel"/>
    <w:tmpl w:val="9FA29552"/>
    <w:lvl w:ilvl="0">
      <w:start w:val="1"/>
      <w:numFmt w:val="decimal"/>
      <w:pStyle w:val="Heading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21469A"/>
    <w:multiLevelType w:val="hybridMultilevel"/>
    <w:tmpl w:val="7A28E478"/>
    <w:lvl w:ilvl="0" w:tplc="9ED27606">
      <w:numFmt w:val="bullet"/>
      <w:lvlText w:val="-"/>
      <w:lvlJc w:val="left"/>
      <w:pPr>
        <w:ind w:left="360" w:hanging="360"/>
      </w:pPr>
      <w:rPr>
        <w:rFonts w:ascii="Arial" w:eastAsia="Arial"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A52547"/>
    <w:multiLevelType w:val="multilevel"/>
    <w:tmpl w:val="89AE80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10474B"/>
    <w:multiLevelType w:val="hybridMultilevel"/>
    <w:tmpl w:val="99F61A04"/>
    <w:lvl w:ilvl="0" w:tplc="268AFAB6">
      <w:start w:val="12"/>
      <w:numFmt w:val="bullet"/>
      <w:lvlText w:val="-"/>
      <w:lvlJc w:val="left"/>
      <w:pPr>
        <w:ind w:left="360" w:hanging="360"/>
      </w:pPr>
      <w:rPr>
        <w:rFonts w:ascii="Aptos" w:eastAsia="Arial" w:hAnsi="Aptos"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0B4202CB"/>
    <w:multiLevelType w:val="hybridMultilevel"/>
    <w:tmpl w:val="327C2BA0"/>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1A5321"/>
    <w:multiLevelType w:val="hybridMultilevel"/>
    <w:tmpl w:val="44746D60"/>
    <w:lvl w:ilvl="0" w:tplc="10000017">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154A598A"/>
    <w:multiLevelType w:val="hybridMultilevel"/>
    <w:tmpl w:val="84FEA94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8BF114A"/>
    <w:multiLevelType w:val="hybridMultilevel"/>
    <w:tmpl w:val="8C643EB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E17228A"/>
    <w:multiLevelType w:val="hybridMultilevel"/>
    <w:tmpl w:val="44FAB9BE"/>
    <w:lvl w:ilvl="0" w:tplc="EAA667C4">
      <w:start w:val="2"/>
      <w:numFmt w:val="bullet"/>
      <w:lvlText w:val="-"/>
      <w:lvlJc w:val="left"/>
      <w:pPr>
        <w:ind w:left="720" w:hanging="360"/>
      </w:pPr>
      <w:rPr>
        <w:rFonts w:ascii="Arial" w:eastAsiaTheme="majorEastAsia"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EB95B32"/>
    <w:multiLevelType w:val="hybridMultilevel"/>
    <w:tmpl w:val="3A88F14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1" w15:restartNumberingAfterBreak="0">
    <w:nsid w:val="207011BB"/>
    <w:multiLevelType w:val="hybridMultilevel"/>
    <w:tmpl w:val="B8C632D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275D615F"/>
    <w:multiLevelType w:val="hybridMultilevel"/>
    <w:tmpl w:val="A2BEEB26"/>
    <w:lvl w:ilvl="0" w:tplc="268AFAB6">
      <w:start w:val="12"/>
      <w:numFmt w:val="bullet"/>
      <w:lvlText w:val="-"/>
      <w:lvlJc w:val="left"/>
      <w:pPr>
        <w:ind w:left="720" w:hanging="360"/>
      </w:pPr>
      <w:rPr>
        <w:rFonts w:ascii="Aptos" w:eastAsia="Arial" w:hAnsi="Aptos" w:cs="Aria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AA6675"/>
    <w:multiLevelType w:val="hybridMultilevel"/>
    <w:tmpl w:val="A708543C"/>
    <w:lvl w:ilvl="0" w:tplc="78F4CE08">
      <w:start w:val="1"/>
      <w:numFmt w:val="bullet"/>
      <w:lvlText w:val="-"/>
      <w:lvlJc w:val="left"/>
      <w:pPr>
        <w:ind w:left="360" w:hanging="360"/>
      </w:pPr>
      <w:rPr>
        <w:rFonts w:ascii="Aptos" w:eastAsia="Arial" w:hAnsi="Apto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3A6911"/>
    <w:multiLevelType w:val="hybridMultilevel"/>
    <w:tmpl w:val="FA3C65E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CDC225A"/>
    <w:multiLevelType w:val="hybridMultilevel"/>
    <w:tmpl w:val="5C64C934"/>
    <w:lvl w:ilvl="0" w:tplc="7F401B5E">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2E9368C3"/>
    <w:multiLevelType w:val="hybridMultilevel"/>
    <w:tmpl w:val="684A6498"/>
    <w:lvl w:ilvl="0" w:tplc="10000011">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2FC546D8"/>
    <w:multiLevelType w:val="hybridMultilevel"/>
    <w:tmpl w:val="405676F0"/>
    <w:lvl w:ilvl="0" w:tplc="1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964E43"/>
    <w:multiLevelType w:val="hybridMultilevel"/>
    <w:tmpl w:val="431A979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64236D3"/>
    <w:multiLevelType w:val="hybridMultilevel"/>
    <w:tmpl w:val="50D46BB0"/>
    <w:lvl w:ilvl="0" w:tplc="268AFAB6">
      <w:start w:val="12"/>
      <w:numFmt w:val="bullet"/>
      <w:lvlText w:val="-"/>
      <w:lvlJc w:val="left"/>
      <w:pPr>
        <w:ind w:left="720" w:hanging="360"/>
      </w:pPr>
      <w:rPr>
        <w:rFonts w:ascii="Aptos" w:eastAsia="Arial" w:hAnsi="Aptos"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C7349A0"/>
    <w:multiLevelType w:val="hybridMultilevel"/>
    <w:tmpl w:val="614CF77E"/>
    <w:lvl w:ilvl="0" w:tplc="1C88E6C2">
      <w:start w:val="1"/>
      <w:numFmt w:val="lowerLetter"/>
      <w:pStyle w:val="Heading4"/>
      <w:lvlText w:val="%1)"/>
      <w:lvlJc w:val="left"/>
      <w:pPr>
        <w:ind w:left="360" w:hanging="360"/>
      </w:pPr>
      <w:rPr>
        <w:rFonts w:hint="default"/>
      </w:rPr>
    </w:lvl>
    <w:lvl w:ilvl="1" w:tplc="561E5398">
      <w:numFmt w:val="bullet"/>
      <w:lvlText w:val="•"/>
      <w:lvlJc w:val="left"/>
      <w:pPr>
        <w:ind w:left="1440" w:hanging="720"/>
      </w:pPr>
      <w:rPr>
        <w:rFonts w:ascii="Aptos" w:eastAsia="Arial" w:hAnsi="Aptos" w:cs="Arial"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40012072"/>
    <w:multiLevelType w:val="hybridMultilevel"/>
    <w:tmpl w:val="3A3ED57C"/>
    <w:lvl w:ilvl="0" w:tplc="9ED27606">
      <w:numFmt w:val="bullet"/>
      <w:lvlText w:val="-"/>
      <w:lvlJc w:val="left"/>
      <w:pPr>
        <w:ind w:left="360" w:hanging="360"/>
      </w:pPr>
      <w:rPr>
        <w:rFonts w:ascii="Arial" w:eastAsia="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987EF0"/>
    <w:multiLevelType w:val="hybridMultilevel"/>
    <w:tmpl w:val="44B0767E"/>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3" w15:restartNumberingAfterBreak="0">
    <w:nsid w:val="43112B6E"/>
    <w:multiLevelType w:val="hybridMultilevel"/>
    <w:tmpl w:val="CC906A9E"/>
    <w:lvl w:ilvl="0" w:tplc="9ED27606">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4340299B"/>
    <w:multiLevelType w:val="hybridMultilevel"/>
    <w:tmpl w:val="70E2F5FE"/>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654220"/>
    <w:multiLevelType w:val="hybridMultilevel"/>
    <w:tmpl w:val="E982B36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4AA011B7"/>
    <w:multiLevelType w:val="hybridMultilevel"/>
    <w:tmpl w:val="B44C5146"/>
    <w:lvl w:ilvl="0" w:tplc="9ED27606">
      <w:start w:val="3"/>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D8D6F14"/>
    <w:multiLevelType w:val="hybridMultilevel"/>
    <w:tmpl w:val="433A6CAE"/>
    <w:lvl w:ilvl="0" w:tplc="10000019">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8" w15:restartNumberingAfterBreak="0">
    <w:nsid w:val="4FF54108"/>
    <w:multiLevelType w:val="hybridMultilevel"/>
    <w:tmpl w:val="1166C670"/>
    <w:lvl w:ilvl="0" w:tplc="20000017">
      <w:start w:val="1"/>
      <w:numFmt w:val="lowerLetter"/>
      <w:lvlText w:val="%1)"/>
      <w:lvlJc w:val="left"/>
      <w:pPr>
        <w:ind w:left="360" w:hanging="360"/>
      </w:p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9" w15:restartNumberingAfterBreak="0">
    <w:nsid w:val="519C1758"/>
    <w:multiLevelType w:val="hybridMultilevel"/>
    <w:tmpl w:val="A064A5C0"/>
    <w:lvl w:ilvl="0" w:tplc="78F4CE08">
      <w:start w:val="1"/>
      <w:numFmt w:val="bullet"/>
      <w:lvlText w:val="-"/>
      <w:lvlJc w:val="left"/>
      <w:pPr>
        <w:ind w:left="360" w:hanging="360"/>
      </w:pPr>
      <w:rPr>
        <w:rFonts w:ascii="Aptos" w:eastAsia="Arial"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B2676"/>
    <w:multiLevelType w:val="hybridMultilevel"/>
    <w:tmpl w:val="3EA46794"/>
    <w:lvl w:ilvl="0" w:tplc="9ED27606">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631594B"/>
    <w:multiLevelType w:val="hybridMultilevel"/>
    <w:tmpl w:val="6AA6D1F0"/>
    <w:lvl w:ilvl="0" w:tplc="10000017">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2" w15:restartNumberingAfterBreak="0">
    <w:nsid w:val="570B10B5"/>
    <w:multiLevelType w:val="hybridMultilevel"/>
    <w:tmpl w:val="A288C93E"/>
    <w:lvl w:ilvl="0" w:tplc="FF981882">
      <w:start w:val="1"/>
      <w:numFmt w:val="lowerLetter"/>
      <w:lvlText w:val="%1)"/>
      <w:lvlJc w:val="left"/>
      <w:pPr>
        <w:ind w:left="360" w:hanging="360"/>
      </w:pPr>
      <w:rPr>
        <w:rFonts w:ascii="Arial" w:eastAsia="Calibri" w:hAnsi="Arial" w:cs="Arial"/>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578314DB"/>
    <w:multiLevelType w:val="multilevel"/>
    <w:tmpl w:val="BA3E7566"/>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3B0A9D"/>
    <w:multiLevelType w:val="hybridMultilevel"/>
    <w:tmpl w:val="C8E0F37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5FAD3977"/>
    <w:multiLevelType w:val="hybridMultilevel"/>
    <w:tmpl w:val="3F40E69E"/>
    <w:lvl w:ilvl="0" w:tplc="9ED27606">
      <w:start w:val="4"/>
      <w:numFmt w:val="bullet"/>
      <w:lvlText w:val="-"/>
      <w:lvlJc w:val="left"/>
      <w:pPr>
        <w:ind w:left="360" w:hanging="360"/>
      </w:pPr>
      <w:rPr>
        <w:rFonts w:ascii="Arial" w:eastAsia="Arial" w:hAnsi="Arial" w:cs="Aria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611E7576"/>
    <w:multiLevelType w:val="hybridMultilevel"/>
    <w:tmpl w:val="2AEAC4A4"/>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59196C"/>
    <w:multiLevelType w:val="hybridMultilevel"/>
    <w:tmpl w:val="085CFF20"/>
    <w:lvl w:ilvl="0" w:tplc="268AFAB6">
      <w:start w:val="12"/>
      <w:numFmt w:val="bullet"/>
      <w:lvlText w:val="-"/>
      <w:lvlJc w:val="left"/>
      <w:pPr>
        <w:ind w:left="1080" w:hanging="360"/>
      </w:pPr>
      <w:rPr>
        <w:rFonts w:ascii="Aptos" w:eastAsia="Arial" w:hAnsi="Aptos" w:cs="Aria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8" w15:restartNumberingAfterBreak="0">
    <w:nsid w:val="63D374C6"/>
    <w:multiLevelType w:val="hybridMultilevel"/>
    <w:tmpl w:val="4D3C899C"/>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6AF05032"/>
    <w:multiLevelType w:val="hybridMultilevel"/>
    <w:tmpl w:val="CFC0A364"/>
    <w:lvl w:ilvl="0" w:tplc="174AE250">
      <w:start w:val="20"/>
      <w:numFmt w:val="bullet"/>
      <w:lvlText w:val="-"/>
      <w:lvlJc w:val="left"/>
      <w:pPr>
        <w:ind w:left="720" w:hanging="360"/>
      </w:pPr>
      <w:rPr>
        <w:rFonts w:ascii="Aptos" w:eastAsia="Arial" w:hAnsi="Aptos"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B487DBF"/>
    <w:multiLevelType w:val="hybridMultilevel"/>
    <w:tmpl w:val="AE7EC0A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6E0163B0"/>
    <w:multiLevelType w:val="multilevel"/>
    <w:tmpl w:val="698EC3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29A5B89"/>
    <w:multiLevelType w:val="hybridMultilevel"/>
    <w:tmpl w:val="B8368DC6"/>
    <w:lvl w:ilvl="0" w:tplc="78F4CE08">
      <w:start w:val="1"/>
      <w:numFmt w:val="bullet"/>
      <w:lvlText w:val="-"/>
      <w:lvlJc w:val="left"/>
      <w:pPr>
        <w:ind w:left="360" w:hanging="360"/>
      </w:pPr>
      <w:rPr>
        <w:rFonts w:ascii="Aptos" w:eastAsia="Arial" w:hAnsi="Apto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707004"/>
    <w:multiLevelType w:val="multilevel"/>
    <w:tmpl w:val="5C4AD598"/>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6AE3D7F"/>
    <w:multiLevelType w:val="multilevel"/>
    <w:tmpl w:val="E28A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F071CA"/>
    <w:multiLevelType w:val="hybridMultilevel"/>
    <w:tmpl w:val="AA3A26F0"/>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0E46C7"/>
    <w:multiLevelType w:val="hybridMultilevel"/>
    <w:tmpl w:val="E2E064CC"/>
    <w:lvl w:ilvl="0" w:tplc="71EE480C">
      <w:start w:val="1"/>
      <w:numFmt w:val="decimal"/>
      <w:lvlText w:val="%1."/>
      <w:lvlJc w:val="left"/>
      <w:pPr>
        <w:ind w:left="360" w:hanging="360"/>
      </w:pPr>
      <w:rPr>
        <w:rFonts w:ascii="Aptos" w:eastAsia="Arial" w:hAnsi="Aptos" w:cs="Arial"/>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7" w15:restartNumberingAfterBreak="0">
    <w:nsid w:val="7AAD1A8B"/>
    <w:multiLevelType w:val="hybridMultilevel"/>
    <w:tmpl w:val="B8CC0F0E"/>
    <w:lvl w:ilvl="0" w:tplc="78F4CE08">
      <w:start w:val="1"/>
      <w:numFmt w:val="bullet"/>
      <w:lvlText w:val="-"/>
      <w:lvlJc w:val="left"/>
      <w:pPr>
        <w:ind w:left="360" w:hanging="360"/>
      </w:pPr>
      <w:rPr>
        <w:rFonts w:ascii="Aptos" w:eastAsia="Arial" w:hAnsi="Apto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BB1066C"/>
    <w:multiLevelType w:val="multilevel"/>
    <w:tmpl w:val="F692DE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BFF285D"/>
    <w:multiLevelType w:val="hybridMultilevel"/>
    <w:tmpl w:val="5DFC122C"/>
    <w:lvl w:ilvl="0" w:tplc="78F4CE08">
      <w:start w:val="1"/>
      <w:numFmt w:val="bullet"/>
      <w:lvlText w:val="-"/>
      <w:lvlJc w:val="left"/>
      <w:pPr>
        <w:ind w:left="360" w:hanging="360"/>
      </w:pPr>
      <w:rPr>
        <w:rFonts w:ascii="Aptos" w:eastAsia="Arial" w:hAnsi="Apto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953B93"/>
    <w:multiLevelType w:val="hybridMultilevel"/>
    <w:tmpl w:val="53288D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785687160">
    <w:abstractNumId w:val="1"/>
  </w:num>
  <w:num w:numId="2" w16cid:durableId="2778837">
    <w:abstractNumId w:val="41"/>
  </w:num>
  <w:num w:numId="3" w16cid:durableId="1158883471">
    <w:abstractNumId w:val="3"/>
  </w:num>
  <w:num w:numId="4" w16cid:durableId="1810589907">
    <w:abstractNumId w:val="48"/>
  </w:num>
  <w:num w:numId="5" w16cid:durableId="1149009644">
    <w:abstractNumId w:val="33"/>
  </w:num>
  <w:num w:numId="6" w16cid:durableId="623728530">
    <w:abstractNumId w:val="30"/>
  </w:num>
  <w:num w:numId="7" w16cid:durableId="832795642">
    <w:abstractNumId w:val="2"/>
  </w:num>
  <w:num w:numId="8" w16cid:durableId="1779986613">
    <w:abstractNumId w:val="15"/>
  </w:num>
  <w:num w:numId="9" w16cid:durableId="1377897387">
    <w:abstractNumId w:val="26"/>
  </w:num>
  <w:num w:numId="10" w16cid:durableId="626086277">
    <w:abstractNumId w:val="35"/>
  </w:num>
  <w:num w:numId="11" w16cid:durableId="1706440594">
    <w:abstractNumId w:val="21"/>
  </w:num>
  <w:num w:numId="12" w16cid:durableId="2110422172">
    <w:abstractNumId w:val="23"/>
  </w:num>
  <w:num w:numId="13" w16cid:durableId="1421562650">
    <w:abstractNumId w:val="32"/>
  </w:num>
  <w:num w:numId="14" w16cid:durableId="2036228316">
    <w:abstractNumId w:val="7"/>
  </w:num>
  <w:num w:numId="15" w16cid:durableId="1225989992">
    <w:abstractNumId w:val="18"/>
  </w:num>
  <w:num w:numId="16" w16cid:durableId="931090498">
    <w:abstractNumId w:val="14"/>
  </w:num>
  <w:num w:numId="17" w16cid:durableId="635987295">
    <w:abstractNumId w:val="8"/>
  </w:num>
  <w:num w:numId="18" w16cid:durableId="384374562">
    <w:abstractNumId w:val="17"/>
  </w:num>
  <w:num w:numId="19" w16cid:durableId="658071146">
    <w:abstractNumId w:val="32"/>
  </w:num>
  <w:num w:numId="20" w16cid:durableId="1552576433">
    <w:abstractNumId w:val="5"/>
  </w:num>
  <w:num w:numId="21" w16cid:durableId="1279263024">
    <w:abstractNumId w:val="24"/>
  </w:num>
  <w:num w:numId="22" w16cid:durableId="226191577">
    <w:abstractNumId w:val="36"/>
  </w:num>
  <w:num w:numId="23" w16cid:durableId="273445545">
    <w:abstractNumId w:val="50"/>
  </w:num>
  <w:num w:numId="24" w16cid:durableId="1656837620">
    <w:abstractNumId w:val="25"/>
  </w:num>
  <w:num w:numId="25" w16cid:durableId="1589146186">
    <w:abstractNumId w:val="22"/>
  </w:num>
  <w:num w:numId="26" w16cid:durableId="668480863">
    <w:abstractNumId w:val="31"/>
  </w:num>
  <w:num w:numId="27" w16cid:durableId="2059238292">
    <w:abstractNumId w:val="43"/>
  </w:num>
  <w:num w:numId="28" w16cid:durableId="552933220">
    <w:abstractNumId w:val="12"/>
  </w:num>
  <w:num w:numId="29" w16cid:durableId="1662926890">
    <w:abstractNumId w:val="46"/>
  </w:num>
  <w:num w:numId="30" w16cid:durableId="485829271">
    <w:abstractNumId w:val="38"/>
  </w:num>
  <w:num w:numId="31" w16cid:durableId="1411385242">
    <w:abstractNumId w:val="46"/>
    <w:lvlOverride w:ilvl="0">
      <w:startOverride w:val="1"/>
    </w:lvlOverride>
  </w:num>
  <w:num w:numId="32" w16cid:durableId="814689748">
    <w:abstractNumId w:val="46"/>
  </w:num>
  <w:num w:numId="33" w16cid:durableId="27684837">
    <w:abstractNumId w:val="46"/>
  </w:num>
  <w:num w:numId="34" w16cid:durableId="1798721590">
    <w:abstractNumId w:val="40"/>
  </w:num>
  <w:num w:numId="35" w16cid:durableId="1608274683">
    <w:abstractNumId w:val="43"/>
    <w:lvlOverride w:ilvl="0">
      <w:startOverride w:val="1"/>
    </w:lvlOverride>
  </w:num>
  <w:num w:numId="36" w16cid:durableId="1825780701">
    <w:abstractNumId w:val="0"/>
  </w:num>
  <w:num w:numId="37" w16cid:durableId="1792937572">
    <w:abstractNumId w:val="20"/>
  </w:num>
  <w:num w:numId="38" w16cid:durableId="607272914">
    <w:abstractNumId w:val="20"/>
  </w:num>
  <w:num w:numId="39" w16cid:durableId="1847862732">
    <w:abstractNumId w:val="20"/>
  </w:num>
  <w:num w:numId="40" w16cid:durableId="1432705394">
    <w:abstractNumId w:val="20"/>
  </w:num>
  <w:num w:numId="41" w16cid:durableId="1445996549">
    <w:abstractNumId w:val="4"/>
  </w:num>
  <w:num w:numId="42" w16cid:durableId="475610971">
    <w:abstractNumId w:val="27"/>
  </w:num>
  <w:num w:numId="43" w16cid:durableId="816150487">
    <w:abstractNumId w:val="45"/>
  </w:num>
  <w:num w:numId="44" w16cid:durableId="1849169931">
    <w:abstractNumId w:val="6"/>
  </w:num>
  <w:num w:numId="45" w16cid:durableId="231896076">
    <w:abstractNumId w:val="16"/>
  </w:num>
  <w:num w:numId="46" w16cid:durableId="604268966">
    <w:abstractNumId w:val="37"/>
  </w:num>
  <w:num w:numId="47" w16cid:durableId="1790934469">
    <w:abstractNumId w:val="19"/>
  </w:num>
  <w:num w:numId="48" w16cid:durableId="16278227">
    <w:abstractNumId w:val="20"/>
  </w:num>
  <w:num w:numId="49" w16cid:durableId="1988512277">
    <w:abstractNumId w:val="20"/>
  </w:num>
  <w:num w:numId="50" w16cid:durableId="1001808790">
    <w:abstractNumId w:val="20"/>
  </w:num>
  <w:num w:numId="51" w16cid:durableId="500195399">
    <w:abstractNumId w:val="20"/>
  </w:num>
  <w:num w:numId="52" w16cid:durableId="530847468">
    <w:abstractNumId w:val="20"/>
  </w:num>
  <w:num w:numId="53" w16cid:durableId="413282690">
    <w:abstractNumId w:val="20"/>
  </w:num>
  <w:num w:numId="54" w16cid:durableId="831681590">
    <w:abstractNumId w:val="10"/>
  </w:num>
  <w:num w:numId="55" w16cid:durableId="1906867433">
    <w:abstractNumId w:val="28"/>
  </w:num>
  <w:num w:numId="56" w16cid:durableId="1709528074">
    <w:abstractNumId w:val="44"/>
  </w:num>
  <w:num w:numId="57" w16cid:durableId="1451317964">
    <w:abstractNumId w:val="11"/>
  </w:num>
  <w:num w:numId="58" w16cid:durableId="1499544155">
    <w:abstractNumId w:val="9"/>
  </w:num>
  <w:num w:numId="59" w16cid:durableId="1520192689">
    <w:abstractNumId w:val="34"/>
  </w:num>
  <w:num w:numId="60" w16cid:durableId="806970141">
    <w:abstractNumId w:val="39"/>
  </w:num>
  <w:num w:numId="61" w16cid:durableId="940841565">
    <w:abstractNumId w:val="1"/>
  </w:num>
  <w:num w:numId="62" w16cid:durableId="551231808">
    <w:abstractNumId w:val="1"/>
  </w:num>
  <w:num w:numId="63" w16cid:durableId="1649431240">
    <w:abstractNumId w:val="1"/>
  </w:num>
  <w:num w:numId="64" w16cid:durableId="1855461256">
    <w:abstractNumId w:val="1"/>
  </w:num>
  <w:num w:numId="65" w16cid:durableId="256403103">
    <w:abstractNumId w:val="47"/>
  </w:num>
  <w:num w:numId="66" w16cid:durableId="698044236">
    <w:abstractNumId w:val="29"/>
  </w:num>
  <w:num w:numId="67" w16cid:durableId="570503691">
    <w:abstractNumId w:val="49"/>
  </w:num>
  <w:num w:numId="68" w16cid:durableId="1544058610">
    <w:abstractNumId w:val="42"/>
  </w:num>
  <w:num w:numId="69" w16cid:durableId="586694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78"/>
    <w:rsid w:val="000169DF"/>
    <w:rsid w:val="000205A2"/>
    <w:rsid w:val="0002503B"/>
    <w:rsid w:val="00025E17"/>
    <w:rsid w:val="00034515"/>
    <w:rsid w:val="00035675"/>
    <w:rsid w:val="0004249F"/>
    <w:rsid w:val="000505AD"/>
    <w:rsid w:val="00050D0F"/>
    <w:rsid w:val="00051263"/>
    <w:rsid w:val="0006188E"/>
    <w:rsid w:val="000618C1"/>
    <w:rsid w:val="0006305E"/>
    <w:rsid w:val="00063A0C"/>
    <w:rsid w:val="00067669"/>
    <w:rsid w:val="000747DB"/>
    <w:rsid w:val="000A7472"/>
    <w:rsid w:val="000B3CDA"/>
    <w:rsid w:val="000B71B7"/>
    <w:rsid w:val="000C5B99"/>
    <w:rsid w:val="000D7ADF"/>
    <w:rsid w:val="000E57D9"/>
    <w:rsid w:val="000E5845"/>
    <w:rsid w:val="000E604D"/>
    <w:rsid w:val="000E7DD0"/>
    <w:rsid w:val="0010619C"/>
    <w:rsid w:val="0011763E"/>
    <w:rsid w:val="001208DC"/>
    <w:rsid w:val="001236C0"/>
    <w:rsid w:val="00134222"/>
    <w:rsid w:val="001345EF"/>
    <w:rsid w:val="00135B44"/>
    <w:rsid w:val="00145B05"/>
    <w:rsid w:val="0015382E"/>
    <w:rsid w:val="001624E3"/>
    <w:rsid w:val="00162945"/>
    <w:rsid w:val="00171104"/>
    <w:rsid w:val="00174A30"/>
    <w:rsid w:val="00175549"/>
    <w:rsid w:val="00193E07"/>
    <w:rsid w:val="001A733C"/>
    <w:rsid w:val="001B7C94"/>
    <w:rsid w:val="001C0768"/>
    <w:rsid w:val="001D0642"/>
    <w:rsid w:val="001E176B"/>
    <w:rsid w:val="0020305C"/>
    <w:rsid w:val="00206D47"/>
    <w:rsid w:val="00214387"/>
    <w:rsid w:val="00217A9E"/>
    <w:rsid w:val="0023364C"/>
    <w:rsid w:val="002338C3"/>
    <w:rsid w:val="002358D7"/>
    <w:rsid w:val="00244929"/>
    <w:rsid w:val="00254757"/>
    <w:rsid w:val="00261441"/>
    <w:rsid w:val="00263EE2"/>
    <w:rsid w:val="0027537D"/>
    <w:rsid w:val="00286E22"/>
    <w:rsid w:val="002A118E"/>
    <w:rsid w:val="002A29B3"/>
    <w:rsid w:val="002B6DCB"/>
    <w:rsid w:val="002D4D18"/>
    <w:rsid w:val="002E510D"/>
    <w:rsid w:val="00305081"/>
    <w:rsid w:val="003052FB"/>
    <w:rsid w:val="00313E8F"/>
    <w:rsid w:val="00327E99"/>
    <w:rsid w:val="00340F1D"/>
    <w:rsid w:val="00353A50"/>
    <w:rsid w:val="00365AA6"/>
    <w:rsid w:val="00367FDE"/>
    <w:rsid w:val="0038354E"/>
    <w:rsid w:val="00386850"/>
    <w:rsid w:val="00394569"/>
    <w:rsid w:val="003946F7"/>
    <w:rsid w:val="003A0AF0"/>
    <w:rsid w:val="003C0F51"/>
    <w:rsid w:val="003C1139"/>
    <w:rsid w:val="003C2724"/>
    <w:rsid w:val="003C3745"/>
    <w:rsid w:val="003C69AB"/>
    <w:rsid w:val="003E20A4"/>
    <w:rsid w:val="003E212F"/>
    <w:rsid w:val="004229B9"/>
    <w:rsid w:val="004354EE"/>
    <w:rsid w:val="00446744"/>
    <w:rsid w:val="00446E29"/>
    <w:rsid w:val="00447509"/>
    <w:rsid w:val="004519C2"/>
    <w:rsid w:val="00452865"/>
    <w:rsid w:val="0047622B"/>
    <w:rsid w:val="0047709E"/>
    <w:rsid w:val="00492078"/>
    <w:rsid w:val="004A68CE"/>
    <w:rsid w:val="004C016E"/>
    <w:rsid w:val="004C130A"/>
    <w:rsid w:val="004F2D2A"/>
    <w:rsid w:val="00503A74"/>
    <w:rsid w:val="00511FF6"/>
    <w:rsid w:val="00535B80"/>
    <w:rsid w:val="00535E02"/>
    <w:rsid w:val="00541942"/>
    <w:rsid w:val="00555897"/>
    <w:rsid w:val="005674AB"/>
    <w:rsid w:val="0057012C"/>
    <w:rsid w:val="005747F2"/>
    <w:rsid w:val="00592E68"/>
    <w:rsid w:val="0059525E"/>
    <w:rsid w:val="005A05F3"/>
    <w:rsid w:val="005A25B1"/>
    <w:rsid w:val="005C2E3D"/>
    <w:rsid w:val="005C4FD0"/>
    <w:rsid w:val="005C7FF1"/>
    <w:rsid w:val="005D15C8"/>
    <w:rsid w:val="005D6D50"/>
    <w:rsid w:val="005F58D8"/>
    <w:rsid w:val="00600757"/>
    <w:rsid w:val="0060227B"/>
    <w:rsid w:val="00612C59"/>
    <w:rsid w:val="00613916"/>
    <w:rsid w:val="0062058B"/>
    <w:rsid w:val="00621403"/>
    <w:rsid w:val="00625002"/>
    <w:rsid w:val="00627F50"/>
    <w:rsid w:val="00652C5D"/>
    <w:rsid w:val="006542C1"/>
    <w:rsid w:val="00656A0D"/>
    <w:rsid w:val="0066109B"/>
    <w:rsid w:val="00665B67"/>
    <w:rsid w:val="006663C1"/>
    <w:rsid w:val="00673AF6"/>
    <w:rsid w:val="00695CFA"/>
    <w:rsid w:val="006A1E1E"/>
    <w:rsid w:val="006B7454"/>
    <w:rsid w:val="006D5B99"/>
    <w:rsid w:val="006E332A"/>
    <w:rsid w:val="006E38B8"/>
    <w:rsid w:val="006E693F"/>
    <w:rsid w:val="006E7A87"/>
    <w:rsid w:val="006F3C77"/>
    <w:rsid w:val="006F7A80"/>
    <w:rsid w:val="007016DC"/>
    <w:rsid w:val="0071074B"/>
    <w:rsid w:val="007115ED"/>
    <w:rsid w:val="00721F5E"/>
    <w:rsid w:val="00736D7F"/>
    <w:rsid w:val="00741F12"/>
    <w:rsid w:val="0074218E"/>
    <w:rsid w:val="00745E69"/>
    <w:rsid w:val="00762AFF"/>
    <w:rsid w:val="00764C18"/>
    <w:rsid w:val="007702F3"/>
    <w:rsid w:val="00785203"/>
    <w:rsid w:val="007931D6"/>
    <w:rsid w:val="00795D58"/>
    <w:rsid w:val="007C3D84"/>
    <w:rsid w:val="007F6E9C"/>
    <w:rsid w:val="00803AFD"/>
    <w:rsid w:val="008255A1"/>
    <w:rsid w:val="00834063"/>
    <w:rsid w:val="00840AFA"/>
    <w:rsid w:val="0085053A"/>
    <w:rsid w:val="0088583C"/>
    <w:rsid w:val="00886120"/>
    <w:rsid w:val="00893EA9"/>
    <w:rsid w:val="008C18AE"/>
    <w:rsid w:val="008C4021"/>
    <w:rsid w:val="008C71E2"/>
    <w:rsid w:val="008D39A1"/>
    <w:rsid w:val="008E3F29"/>
    <w:rsid w:val="008F0A3A"/>
    <w:rsid w:val="008F387D"/>
    <w:rsid w:val="008F3E72"/>
    <w:rsid w:val="008F49BB"/>
    <w:rsid w:val="00907B7A"/>
    <w:rsid w:val="00914FD0"/>
    <w:rsid w:val="00917BB1"/>
    <w:rsid w:val="00920474"/>
    <w:rsid w:val="009214D4"/>
    <w:rsid w:val="00932312"/>
    <w:rsid w:val="009444F3"/>
    <w:rsid w:val="00946657"/>
    <w:rsid w:val="00952B4B"/>
    <w:rsid w:val="009606C5"/>
    <w:rsid w:val="0097719B"/>
    <w:rsid w:val="009862D8"/>
    <w:rsid w:val="00990CE4"/>
    <w:rsid w:val="00991478"/>
    <w:rsid w:val="009A74D9"/>
    <w:rsid w:val="009B0425"/>
    <w:rsid w:val="009B6D52"/>
    <w:rsid w:val="009C345B"/>
    <w:rsid w:val="009C4AB2"/>
    <w:rsid w:val="009D24AA"/>
    <w:rsid w:val="009D30D3"/>
    <w:rsid w:val="009E6A94"/>
    <w:rsid w:val="009F1EC2"/>
    <w:rsid w:val="009F2934"/>
    <w:rsid w:val="009F4B32"/>
    <w:rsid w:val="009F58B4"/>
    <w:rsid w:val="00A04188"/>
    <w:rsid w:val="00A12873"/>
    <w:rsid w:val="00A2142D"/>
    <w:rsid w:val="00A24429"/>
    <w:rsid w:val="00A575D9"/>
    <w:rsid w:val="00A614C1"/>
    <w:rsid w:val="00A73CB0"/>
    <w:rsid w:val="00A753CB"/>
    <w:rsid w:val="00A759FF"/>
    <w:rsid w:val="00A86349"/>
    <w:rsid w:val="00A87080"/>
    <w:rsid w:val="00A943C6"/>
    <w:rsid w:val="00AC2723"/>
    <w:rsid w:val="00AD1B69"/>
    <w:rsid w:val="00AD6536"/>
    <w:rsid w:val="00AE3F03"/>
    <w:rsid w:val="00AE5485"/>
    <w:rsid w:val="00AE5670"/>
    <w:rsid w:val="00AF3FC1"/>
    <w:rsid w:val="00AF518D"/>
    <w:rsid w:val="00B06AFA"/>
    <w:rsid w:val="00B132CE"/>
    <w:rsid w:val="00B167BE"/>
    <w:rsid w:val="00B2028A"/>
    <w:rsid w:val="00B30B6B"/>
    <w:rsid w:val="00B32537"/>
    <w:rsid w:val="00B428EC"/>
    <w:rsid w:val="00B44204"/>
    <w:rsid w:val="00B50B22"/>
    <w:rsid w:val="00B67402"/>
    <w:rsid w:val="00B72C7A"/>
    <w:rsid w:val="00B777F7"/>
    <w:rsid w:val="00B83D34"/>
    <w:rsid w:val="00B90804"/>
    <w:rsid w:val="00B93B60"/>
    <w:rsid w:val="00BC1B57"/>
    <w:rsid w:val="00BC3539"/>
    <w:rsid w:val="00BC759D"/>
    <w:rsid w:val="00BD225E"/>
    <w:rsid w:val="00BD2325"/>
    <w:rsid w:val="00BD5A02"/>
    <w:rsid w:val="00BE1ED7"/>
    <w:rsid w:val="00BE512D"/>
    <w:rsid w:val="00BE6FF3"/>
    <w:rsid w:val="00BF2162"/>
    <w:rsid w:val="00BF3E91"/>
    <w:rsid w:val="00BF3FA4"/>
    <w:rsid w:val="00BF751A"/>
    <w:rsid w:val="00C06D07"/>
    <w:rsid w:val="00C20508"/>
    <w:rsid w:val="00C4128F"/>
    <w:rsid w:val="00C441F5"/>
    <w:rsid w:val="00C76D7A"/>
    <w:rsid w:val="00C86135"/>
    <w:rsid w:val="00C86577"/>
    <w:rsid w:val="00C9212D"/>
    <w:rsid w:val="00CA029A"/>
    <w:rsid w:val="00CA3912"/>
    <w:rsid w:val="00CA5B44"/>
    <w:rsid w:val="00CC3E6A"/>
    <w:rsid w:val="00CE5A89"/>
    <w:rsid w:val="00D102B2"/>
    <w:rsid w:val="00D162B4"/>
    <w:rsid w:val="00D355AE"/>
    <w:rsid w:val="00D53917"/>
    <w:rsid w:val="00D746E8"/>
    <w:rsid w:val="00DA5B8A"/>
    <w:rsid w:val="00DA64E3"/>
    <w:rsid w:val="00DB6813"/>
    <w:rsid w:val="00DB7AA3"/>
    <w:rsid w:val="00DC281D"/>
    <w:rsid w:val="00DC3F69"/>
    <w:rsid w:val="00DE0315"/>
    <w:rsid w:val="00DF552B"/>
    <w:rsid w:val="00E113EE"/>
    <w:rsid w:val="00E11BA6"/>
    <w:rsid w:val="00E13D75"/>
    <w:rsid w:val="00E164F0"/>
    <w:rsid w:val="00E2545A"/>
    <w:rsid w:val="00E26568"/>
    <w:rsid w:val="00E26CDD"/>
    <w:rsid w:val="00E27FB7"/>
    <w:rsid w:val="00E30C10"/>
    <w:rsid w:val="00E45849"/>
    <w:rsid w:val="00E46010"/>
    <w:rsid w:val="00E517FF"/>
    <w:rsid w:val="00E611BF"/>
    <w:rsid w:val="00E61F85"/>
    <w:rsid w:val="00E64169"/>
    <w:rsid w:val="00E746E0"/>
    <w:rsid w:val="00E75D23"/>
    <w:rsid w:val="00E914C0"/>
    <w:rsid w:val="00EA3809"/>
    <w:rsid w:val="00EA4C68"/>
    <w:rsid w:val="00EA631E"/>
    <w:rsid w:val="00EB1D2D"/>
    <w:rsid w:val="00EB3D88"/>
    <w:rsid w:val="00EC1EB6"/>
    <w:rsid w:val="00EC4346"/>
    <w:rsid w:val="00EC6388"/>
    <w:rsid w:val="00EC6402"/>
    <w:rsid w:val="00ED0468"/>
    <w:rsid w:val="00ED0937"/>
    <w:rsid w:val="00ED5C8E"/>
    <w:rsid w:val="00ED721D"/>
    <w:rsid w:val="00EE58E2"/>
    <w:rsid w:val="00EF2C50"/>
    <w:rsid w:val="00F073DF"/>
    <w:rsid w:val="00F108C1"/>
    <w:rsid w:val="00F10B34"/>
    <w:rsid w:val="00F271DC"/>
    <w:rsid w:val="00F30FDC"/>
    <w:rsid w:val="00F31771"/>
    <w:rsid w:val="00F33FE7"/>
    <w:rsid w:val="00F36306"/>
    <w:rsid w:val="00F367CA"/>
    <w:rsid w:val="00F40D10"/>
    <w:rsid w:val="00F430DB"/>
    <w:rsid w:val="00F47EDD"/>
    <w:rsid w:val="00F56BBB"/>
    <w:rsid w:val="00F61203"/>
    <w:rsid w:val="00F63229"/>
    <w:rsid w:val="00F663DC"/>
    <w:rsid w:val="00F83DD8"/>
    <w:rsid w:val="00F84E2A"/>
    <w:rsid w:val="00FA150E"/>
    <w:rsid w:val="00FA7D66"/>
    <w:rsid w:val="00FC4732"/>
    <w:rsid w:val="00FC6154"/>
    <w:rsid w:val="00FC6717"/>
    <w:rsid w:val="00FC7CB9"/>
    <w:rsid w:val="00FD257F"/>
    <w:rsid w:val="00FD658E"/>
    <w:rsid w:val="00FD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4BBAB"/>
  <w15:docId w15:val="{868870DC-5F33-4BC8-AB13-C0B25F98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D7"/>
    <w:pPr>
      <w:spacing w:after="0" w:line="240" w:lineRule="auto"/>
    </w:pPr>
    <w:rPr>
      <w:rFonts w:ascii="Aptos" w:eastAsia="Arial" w:hAnsi="Aptos" w:cs="Arial"/>
      <w:sz w:val="20"/>
      <w:szCs w:val="20"/>
    </w:rPr>
  </w:style>
  <w:style w:type="paragraph" w:styleId="Heading1">
    <w:name w:val="heading 1"/>
    <w:basedOn w:val="Normal"/>
    <w:next w:val="Normal"/>
    <w:uiPriority w:val="9"/>
    <w:qFormat/>
    <w:rsid w:val="00A87080"/>
    <w:pPr>
      <w:numPr>
        <w:numId w:val="1"/>
      </w:numPr>
      <w:pBdr>
        <w:bottom w:val="single" w:sz="12" w:space="1" w:color="auto"/>
      </w:pBdr>
      <w:shd w:val="clear" w:color="auto" w:fill="FFFFFF" w:themeFill="background1"/>
      <w:spacing w:before="240" w:after="240"/>
      <w:outlineLvl w:val="0"/>
    </w:pPr>
    <w:rPr>
      <w:b/>
      <w:bCs/>
    </w:rPr>
  </w:style>
  <w:style w:type="paragraph" w:styleId="Heading2">
    <w:name w:val="heading 2"/>
    <w:basedOn w:val="ListParagraph"/>
    <w:next w:val="Normal"/>
    <w:uiPriority w:val="9"/>
    <w:unhideWhenUsed/>
    <w:qFormat/>
    <w:rsid w:val="00A759FF"/>
    <w:pPr>
      <w:numPr>
        <w:numId w:val="27"/>
      </w:numPr>
      <w:outlineLvl w:val="1"/>
    </w:pPr>
    <w:rPr>
      <w:b/>
      <w:bCs/>
    </w:rPr>
  </w:style>
  <w:style w:type="paragraph" w:styleId="Heading3">
    <w:name w:val="heading 3"/>
    <w:basedOn w:val="ListParagraph"/>
    <w:next w:val="Normal"/>
    <w:uiPriority w:val="9"/>
    <w:unhideWhenUsed/>
    <w:qFormat/>
    <w:rsid w:val="00CC3E6A"/>
    <w:pPr>
      <w:numPr>
        <w:ilvl w:val="1"/>
        <w:numId w:val="27"/>
      </w:numPr>
      <w:outlineLvl w:val="2"/>
    </w:pPr>
    <w:rPr>
      <w:b/>
      <w:bCs/>
    </w:rPr>
  </w:style>
  <w:style w:type="paragraph" w:styleId="Heading4">
    <w:name w:val="heading 4"/>
    <w:basedOn w:val="ListParagraph"/>
    <w:next w:val="Normal"/>
    <w:uiPriority w:val="9"/>
    <w:unhideWhenUsed/>
    <w:qFormat/>
    <w:rsid w:val="00CC3E6A"/>
    <w:pPr>
      <w:numPr>
        <w:numId w:val="37"/>
      </w:numPr>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IndentedparagraphsChar">
    <w:name w:val="Indented paragraphs Char"/>
    <w:link w:val="Indentedparagraphs"/>
    <w:locked/>
    <w:rsid w:val="007F449F"/>
  </w:style>
  <w:style w:type="paragraph" w:customStyle="1" w:styleId="Indentedparagraphs">
    <w:name w:val="Indented paragraphs"/>
    <w:basedOn w:val="Normal"/>
    <w:link w:val="IndentedparagraphsChar"/>
    <w:rsid w:val="007F449F"/>
    <w:pPr>
      <w:spacing w:after="200" w:line="276" w:lineRule="auto"/>
      <w:ind w:left="851" w:hanging="851"/>
    </w:pPr>
  </w:style>
  <w:style w:type="character" w:styleId="Hyperlink">
    <w:name w:val="Hyperlink"/>
    <w:basedOn w:val="DefaultParagraphFont"/>
    <w:uiPriority w:val="99"/>
    <w:unhideWhenUsed/>
    <w:rsid w:val="00F82C64"/>
    <w:rPr>
      <w:color w:val="0563C1" w:themeColor="hyperlink"/>
      <w:u w:val="single"/>
    </w:rPr>
  </w:style>
  <w:style w:type="character" w:styleId="UnresolvedMention">
    <w:name w:val="Unresolved Mention"/>
    <w:basedOn w:val="DefaultParagraphFont"/>
    <w:uiPriority w:val="99"/>
    <w:semiHidden/>
    <w:unhideWhenUsed/>
    <w:rsid w:val="00F82C64"/>
    <w:rPr>
      <w:color w:val="605E5C"/>
      <w:shd w:val="clear" w:color="auto" w:fill="E1DFDD"/>
    </w:rPr>
  </w:style>
  <w:style w:type="character" w:customStyle="1" w:styleId="AmznLg1BodyTextChar">
    <w:name w:val="AmznLg1BodyText Char"/>
    <w:basedOn w:val="DefaultParagraphFont"/>
    <w:link w:val="AmznLg1BodyText"/>
    <w:rsid w:val="00A576F1"/>
    <w:rPr>
      <w:szCs w:val="24"/>
    </w:rPr>
  </w:style>
  <w:style w:type="paragraph" w:customStyle="1" w:styleId="AmznLg1BodyText">
    <w:name w:val="AmznLg1BodyText"/>
    <w:basedOn w:val="Normal"/>
    <w:link w:val="AmznLg1BodyTextChar"/>
    <w:qFormat/>
    <w:rsid w:val="00A576F1"/>
    <w:pPr>
      <w:spacing w:after="240"/>
      <w:jc w:val="both"/>
    </w:pPr>
    <w:rPr>
      <w:szCs w:val="24"/>
    </w:rPr>
  </w:style>
  <w:style w:type="table" w:styleId="TableGrid">
    <w:name w:val="Table Grid"/>
    <w:basedOn w:val="TableNormal"/>
    <w:uiPriority w:val="39"/>
    <w:rsid w:val="00A576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576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054C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37F35"/>
    <w:pPr>
      <w:tabs>
        <w:tab w:val="center" w:pos="4703"/>
        <w:tab w:val="right" w:pos="9406"/>
      </w:tabs>
    </w:pPr>
  </w:style>
  <w:style w:type="character" w:customStyle="1" w:styleId="HeaderChar">
    <w:name w:val="Header Char"/>
    <w:basedOn w:val="DefaultParagraphFont"/>
    <w:link w:val="Header"/>
    <w:uiPriority w:val="99"/>
    <w:rsid w:val="00E37F35"/>
  </w:style>
  <w:style w:type="paragraph" w:styleId="Footer">
    <w:name w:val="footer"/>
    <w:basedOn w:val="Normal"/>
    <w:link w:val="FooterChar"/>
    <w:uiPriority w:val="99"/>
    <w:unhideWhenUsed/>
    <w:rsid w:val="00E37F35"/>
    <w:pPr>
      <w:tabs>
        <w:tab w:val="center" w:pos="4703"/>
        <w:tab w:val="right" w:pos="9406"/>
      </w:tabs>
    </w:pPr>
  </w:style>
  <w:style w:type="character" w:customStyle="1" w:styleId="FooterChar">
    <w:name w:val="Footer Char"/>
    <w:basedOn w:val="DefaultParagraphFont"/>
    <w:link w:val="Footer"/>
    <w:uiPriority w:val="99"/>
    <w:rsid w:val="00E37F35"/>
  </w:style>
  <w:style w:type="table" w:customStyle="1" w:styleId="a0">
    <w:basedOn w:val="TableNormal"/>
    <w:pPr>
      <w:spacing w:after="0" w:line="240" w:lineRule="auto"/>
    </w:pPr>
    <w:tblPr>
      <w:tblStyleRowBandSize w:val="1"/>
      <w:tblStyleColBandSize w:val="1"/>
    </w:tblPr>
  </w:style>
  <w:style w:type="table" w:styleId="PlainTable1">
    <w:name w:val="Plain Table 1"/>
    <w:basedOn w:val="TableNormal"/>
    <w:uiPriority w:val="41"/>
    <w:rsid w:val="00DB5D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customStyle="1" w:styleId="d-inline-block">
    <w:name w:val="d-inline-block"/>
    <w:basedOn w:val="DefaultParagraphFont"/>
    <w:rsid w:val="003C2724"/>
  </w:style>
  <w:style w:type="character" w:customStyle="1" w:styleId="il">
    <w:name w:val="il"/>
    <w:basedOn w:val="DefaultParagraphFont"/>
    <w:rsid w:val="00BE1ED7"/>
  </w:style>
  <w:style w:type="paragraph" w:customStyle="1" w:styleId="gmail-li1">
    <w:name w:val="gmail-li1"/>
    <w:basedOn w:val="Normal"/>
    <w:rsid w:val="00840AFA"/>
    <w:pPr>
      <w:spacing w:before="100" w:beforeAutospacing="1" w:after="100" w:afterAutospacing="1"/>
    </w:pPr>
    <w:rPr>
      <w:rFonts w:ascii="Times New Roman" w:eastAsia="Times New Roman" w:hAnsi="Times New Roman" w:cs="Times New Roman"/>
      <w:sz w:val="24"/>
      <w:szCs w:val="24"/>
    </w:rPr>
  </w:style>
  <w:style w:type="character" w:customStyle="1" w:styleId="cancel-hydrated">
    <w:name w:val="cancel-hydrated"/>
    <w:basedOn w:val="DefaultParagraphFont"/>
    <w:rsid w:val="00840AFA"/>
  </w:style>
  <w:style w:type="character" w:customStyle="1" w:styleId="gmail-apple-converted-space">
    <w:name w:val="gmail-apple-converted-space"/>
    <w:basedOn w:val="DefaultParagraphFont"/>
    <w:rsid w:val="00840AFA"/>
  </w:style>
  <w:style w:type="table" w:styleId="GridTable4">
    <w:name w:val="Grid Table 4"/>
    <w:basedOn w:val="TableNormal"/>
    <w:uiPriority w:val="49"/>
    <w:rsid w:val="00C44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145B05"/>
  </w:style>
  <w:style w:type="character" w:styleId="PageNumber">
    <w:name w:val="page number"/>
    <w:basedOn w:val="DefaultParagraphFont"/>
    <w:uiPriority w:val="99"/>
    <w:semiHidden/>
    <w:unhideWhenUsed/>
    <w:rsid w:val="000E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RHxzxiBmYo2VdAUcsAqXhzm/A==">CgMxLjAyCWguMzBqMHpsbDgAciExRk5wWVJiMnlrZXFRRTQyVTNEYVVNeTlsRWE5U04wQ0g=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40C975-0123-A045-9AB4-C241F4D0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1474</Words>
  <Characters>8895</Characters>
  <Application>Microsoft Office Word</Application>
  <DocSecurity>0</DocSecurity>
  <Lines>216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Klissouras</dc:creator>
  <cp:lastModifiedBy>Anna Klissouras</cp:lastModifiedBy>
  <cp:revision>11</cp:revision>
  <cp:lastPrinted>2024-02-19T17:11:00Z</cp:lastPrinted>
  <dcterms:created xsi:type="dcterms:W3CDTF">2026-03-19T16:05:00Z</dcterms:created>
  <dcterms:modified xsi:type="dcterms:W3CDTF">2026-03-20T05:44:00Z</dcterms:modified>
</cp:coreProperties>
</file>